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lineRule="auto" w:line="285" w:before="0" w:after="0"/>
        <w:ind w:left="0" w:right="0" w:hanging="0"/>
        <w:jc w:val="center"/>
        <w:rPr>
          <w:bdr w:val="single" w:sz="24" w:space="1" w:color="000000"/>
        </w:rPr>
      </w:pPr>
      <w:bookmarkStart w:id="0" w:name="tcmd-20260810x8k.htm"/>
      <w:bookmarkStart w:id="1" w:name="kstcmd20260810x8k"/>
      <w:bookmarkEnd w:id="0"/>
      <w:bookmarkEnd w:id="1"/>
      <w:r>
        <w:rPr>
          <w:bdr w:val="single" w:sz="24" w:space="1" w:color="000000"/>
        </w:rPr>
        <w:t>​</w:t>
      </w:r>
    </w:p>
    <w:p>
      <w:pPr>
        <w:pStyle w:val="TextBody"/>
        <w:bidi w:val="0"/>
        <w:spacing w:lineRule="auto" w:line="285" w:before="0" w:after="0"/>
        <w:ind w:left="0" w:right="0" w:hanging="0"/>
        <w:jc w:val="center"/>
        <w:rPr>
          <w:rFonts w:ascii="Arial;Helvetica;sans-serif" w:hAnsi="Arial;Helvetica;sans-serif"/>
          <w:b/>
          <w:sz w:val="36"/>
        </w:rPr>
      </w:pPr>
      <w:bookmarkStart w:id="2" w:name="_c16871a0_0c80_4af9_bedd_ac177fc28e17"/>
      <w:bookmarkEnd w:id="2"/>
      <w:r>
        <w:rPr>
          <w:rFonts w:ascii="Arial;Helvetica;sans-serif" w:hAnsi="Arial;Helvetica;sans-serif"/>
          <w:b/>
          <w:sz w:val="36"/>
        </w:rPr>
        <w:t>UNITED STATES</w:t>
        <w:br/>
        <w:t>SECURITIES AND EXCHANGE COMMISSION</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lineRule="auto" w:line="285" w:before="0" w:after="0"/>
        <w:ind w:left="0" w:right="0" w:hanging="0"/>
        <w:jc w:val="center"/>
        <w:rPr>
          <w:rFonts w:ascii="Arial;Helvetica;sans-serif" w:hAnsi="Arial;Helvetica;sans-serif"/>
          <w:b/>
          <w:sz w:val="36"/>
        </w:rPr>
      </w:pPr>
      <w:r>
        <w:rPr>
          <w:rFonts w:ascii="Arial;Helvetica;sans-serif" w:hAnsi="Arial;Helvetica;sans-serif"/>
          <w:b/>
          <w:sz w:val="36"/>
        </w:rPr>
        <w:t>FORM 8-K</w:t>
      </w:r>
    </w:p>
    <w:p>
      <w:pPr>
        <w:pStyle w:val="TextBody"/>
        <w:bidi w:val="0"/>
        <w:spacing w:lineRule="auto" w:line="285" w:before="120" w:after="0"/>
        <w:ind w:left="0" w:right="0" w:hanging="0"/>
        <w:jc w:val="center"/>
        <w:rPr>
          <w:rFonts w:ascii="Arial;Helvetica;sans-serif" w:hAnsi="Arial;Helvetica;sans-serif"/>
          <w:b/>
          <w:sz w:val="24"/>
        </w:rPr>
      </w:pPr>
      <w:r>
        <w:rPr>
          <w:rFonts w:ascii="Arial;Helvetica;sans-serif" w:hAnsi="Arial;Helvetica;sans-serif"/>
          <w:b/>
          <w:sz w:val="24"/>
        </w:rPr>
        <w:t>CURRENT REPORT</w:t>
      </w:r>
    </w:p>
    <w:p>
      <w:pPr>
        <w:pStyle w:val="TextBody"/>
        <w:bidi w:val="0"/>
        <w:spacing w:lineRule="auto" w:line="285" w:before="0" w:after="0"/>
        <w:ind w:left="0" w:right="0" w:hanging="0"/>
        <w:jc w:val="center"/>
        <w:rPr>
          <w:rFonts w:ascii="Arial;Helvetica;sans-serif" w:hAnsi="Arial;Helvetica;sans-serif"/>
          <w:b/>
          <w:sz w:val="24"/>
        </w:rPr>
      </w:pPr>
      <w:r>
        <w:rPr>
          <w:rFonts w:ascii="Arial;Helvetica;sans-serif" w:hAnsi="Arial;Helvetica;sans-serif"/>
          <w:b/>
          <w:sz w:val="24"/>
        </w:rPr>
        <w:t>Pursuant to Section 13 or 15(d) of</w:t>
      </w:r>
    </w:p>
    <w:p>
      <w:pPr>
        <w:pStyle w:val="TextBody"/>
        <w:bidi w:val="0"/>
        <w:spacing w:lineRule="auto" w:line="285" w:before="0" w:after="120"/>
        <w:ind w:left="0" w:right="0" w:hanging="0"/>
        <w:jc w:val="center"/>
        <w:rPr>
          <w:rFonts w:ascii="Arial;Helvetica;sans-serif" w:hAnsi="Arial;Helvetica;sans-serif"/>
          <w:b/>
          <w:sz w:val="24"/>
        </w:rPr>
      </w:pPr>
      <w:r>
        <w:rPr>
          <w:rFonts w:ascii="Arial;Helvetica;sans-serif" w:hAnsi="Arial;Helvetica;sans-serif"/>
          <w:b/>
          <w:sz w:val="24"/>
        </w:rPr>
        <w:t>the Securities Exchange Act of 1934</w:t>
      </w:r>
    </w:p>
    <w:p>
      <w:pPr>
        <w:pStyle w:val="TextBody"/>
        <w:bidi w:val="0"/>
        <w:spacing w:lineRule="auto" w:line="285" w:before="0" w:after="0"/>
        <w:ind w:left="0" w:right="0" w:hanging="0"/>
        <w:jc w:val="center"/>
        <w:rPr>
          <w:rFonts w:ascii="Times New Roman;Times;serif" w:hAnsi="Times New Roman;Times;serif"/>
          <w:sz w:val="24"/>
        </w:rPr>
      </w:pPr>
      <w:r>
        <w:rPr>
          <w:rFonts w:ascii="Arial;Helvetica;sans-serif" w:hAnsi="Arial;Helvetica;sans-serif"/>
          <w:sz w:val="20"/>
        </w:rPr>
        <w:t xml:space="preserve">Date of Report (Date of earliest event reported) </w:t>
      </w:r>
      <w:r>
        <w:rPr>
          <w:rFonts w:ascii="Arial;Helvetica;sans-serif" w:hAnsi="Arial;Helvetica;sans-serif"/>
          <w:b/>
          <w:sz w:val="20"/>
        </w:rPr>
        <w:t>August 10, 2026</w:t>
      </w:r>
    </w:p>
    <w:p>
      <w:pPr>
        <w:pStyle w:val="TextBody"/>
        <w:bidi w:val="0"/>
        <w:spacing w:lineRule="auto" w:line="285" w:before="0" w:after="0"/>
        <w:ind w:left="0" w:right="0" w:hanging="0"/>
        <w:jc w:val="center"/>
        <w:rPr>
          <w:rFonts w:ascii="Arial;Helvetica;sans-serif" w:hAnsi="Arial;Helvetica;sans-serif"/>
          <w:b/>
          <w:sz w:val="36"/>
        </w:rPr>
      </w:pPr>
      <w:r>
        <w:rPr>
          <w:rFonts w:ascii="Arial;Helvetica;sans-serif" w:hAnsi="Arial;Helvetica;sans-serif"/>
          <w:b/>
          <w:sz w:val="36"/>
        </w:rPr>
        <w:t>TACTILE SYSTEMS TECHNOLOGY, INC.</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(Exact name of registrant as specified in its charter)</w:t>
      </w:r>
    </w:p>
    <w:p>
      <w:pPr>
        <w:pStyle w:val="Normal"/>
        <w:bidi w:val="0"/>
        <w:spacing w:before="0" w:after="0"/>
        <w:jc w:val="left"/>
        <w:rPr>
          <w:sz w:val="4"/>
          <w:szCs w:val="4"/>
        </w:rPr>
      </w:pPr>
      <w:r>
        <w:rPr>
          <w:sz w:val="4"/>
          <w:szCs w:val="4"/>
        </w:rPr>
      </w:r>
      <w:bookmarkStart w:id="3" w:name="Tc_oZX87UBIv0ulEEzdhRiecA_3_4"/>
      <w:bookmarkStart w:id="4" w:name="Tc_HyGr3yUnIkOR6kUvCPHN8w_3_2"/>
      <w:bookmarkStart w:id="5" w:name="Tc_kLIV0qmdKUG-JiVbMDIHzQ_3_0"/>
      <w:bookmarkStart w:id="6" w:name="Tc_3a5EBTZ5lESsa5aRF_nCOw_2_4"/>
      <w:bookmarkStart w:id="7" w:name="Tc_WpEhIEYhOEuJyxzVQmkRIw_2_2"/>
      <w:bookmarkStart w:id="8" w:name="Tc_dyaBVYM2W0q-MwA8gEQA4w_2_0"/>
      <w:bookmarkStart w:id="9" w:name="_5e283e7b_6d1e_45d4_918a_c8a75e47ecd0"/>
      <w:bookmarkStart w:id="10" w:name="Tc_oZX87UBIv0ulEEzdhRiecA_3_4"/>
      <w:bookmarkStart w:id="11" w:name="Tc_HyGr3yUnIkOR6kUvCPHN8w_3_2"/>
      <w:bookmarkStart w:id="12" w:name="Tc_kLIV0qmdKUG-JiVbMDIHzQ_3_0"/>
      <w:bookmarkStart w:id="13" w:name="Tc_3a5EBTZ5lESsa5aRF_nCOw_2_4"/>
      <w:bookmarkStart w:id="14" w:name="Tc_WpEhIEYhOEuJyxzVQmkRIw_2_2"/>
      <w:bookmarkStart w:id="15" w:name="Tc_dyaBVYM2W0q-MwA8gEQA4w_2_0"/>
      <w:bookmarkStart w:id="16" w:name="_5e283e7b_6d1e_45d4_918a_c8a75e47ecd0"/>
      <w:bookmarkEnd w:id="10"/>
      <w:bookmarkEnd w:id="11"/>
      <w:bookmarkEnd w:id="12"/>
      <w:bookmarkEnd w:id="13"/>
      <w:bookmarkEnd w:id="14"/>
      <w:bookmarkEnd w:id="15"/>
      <w:bookmarkEnd w:id="16"/>
    </w:p>
    <w:tbl>
      <w:tblPr>
        <w:tblW w:w="5800" w:type="dxa"/>
        <w:jc w:val="left"/>
        <w:tblInd w:w="0" w:type="dxa"/>
        <w:tblLayout w:type="fixed"/>
        <w:tblCellMar>
          <w:top w:w="0" w:type="dxa"/>
          <w:left w:w="0" w:type="dxa"/>
          <w:bottom w:w="0" w:type="dxa"/>
          <w:right w:w="0" w:type="dxa"/>
        </w:tblCellMar>
      </w:tblPr>
      <w:tblGrid>
        <w:gridCol w:w="2581"/>
        <w:gridCol w:w="146"/>
        <w:gridCol w:w="1246"/>
        <w:gridCol w:w="146"/>
        <w:gridCol w:w="1681"/>
      </w:tblGrid>
      <w:tr>
        <w:trPr/>
        <w:tc>
          <w:tcPr>
            <w:tcW w:w="2581" w:type="dxa"/>
            <w:tcBorders/>
            <w:vAlign w:val="center"/>
          </w:tcPr>
          <w:p>
            <w:pPr>
              <w:pStyle w:val="TableContents"/>
              <w:bidi w:val="0"/>
              <w:spacing w:lineRule="auto" w:line="285"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lineRule="auto" w:line="328"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146" w:type="dxa"/>
            <w:tcBorders/>
            <w:vAlign w:val="center"/>
          </w:tcPr>
          <w:p>
            <w:pPr>
              <w:pStyle w:val="TableContents"/>
              <w:bidi w:val="0"/>
              <w:spacing w:lineRule="auto" w:line="328" w:before="0" w:after="0"/>
              <w:ind w:left="0" w:right="0" w:hanging="0"/>
              <w:jc w:val="left"/>
              <w:rPr/>
            </w:pPr>
            <w:r>
              <w:rPr/>
              <w:t> </w:t>
            </w:r>
          </w:p>
        </w:tc>
        <w:tc>
          <w:tcPr>
            <w:tcW w:w="1246" w:type="dxa"/>
            <w:tcBorders/>
            <w:vAlign w:val="center"/>
          </w:tcPr>
          <w:p>
            <w:pPr>
              <w:pStyle w:val="TableContents"/>
              <w:bidi w:val="0"/>
              <w:spacing w:lineRule="auto" w:line="328" w:before="0" w:after="0"/>
              <w:ind w:left="0" w:right="0" w:hanging="0"/>
              <w:jc w:val="center"/>
              <w:rPr>
                <w:rFonts w:ascii="Arial;Helvetica;sans-serif" w:hAnsi="Arial;Helvetica;sans-serif"/>
                <w:b/>
                <w:sz w:val="20"/>
              </w:rPr>
            </w:pPr>
            <w:r>
              <w:rPr>
                <w:rFonts w:ascii="Arial;Helvetica;sans-serif" w:hAnsi="Arial;Helvetica;sans-serif"/>
                <w:b/>
                <w:sz w:val="20"/>
              </w:rPr>
              <w:t>001-37799</w:t>
            </w:r>
          </w:p>
        </w:tc>
        <w:tc>
          <w:tcPr>
            <w:tcW w:w="146" w:type="dxa"/>
            <w:tcBorders/>
            <w:vAlign w:val="center"/>
          </w:tcPr>
          <w:p>
            <w:pPr>
              <w:pStyle w:val="TableContents"/>
              <w:bidi w:val="0"/>
              <w:spacing w:lineRule="auto" w:line="328" w:before="0" w:after="0"/>
              <w:ind w:left="0" w:right="0" w:hanging="0"/>
              <w:jc w:val="left"/>
              <w:rPr/>
            </w:pPr>
            <w:r>
              <w:rPr/>
              <w:t> </w:t>
            </w:r>
          </w:p>
        </w:tc>
        <w:tc>
          <w:tcPr>
            <w:tcW w:w="1681" w:type="dxa"/>
            <w:tcBorders/>
            <w:vAlign w:val="center"/>
          </w:tcPr>
          <w:p>
            <w:pPr>
              <w:pStyle w:val="TableContents"/>
              <w:bidi w:val="0"/>
              <w:spacing w:lineRule="auto" w:line="328" w:before="0" w:after="0"/>
              <w:ind w:left="0" w:right="0" w:hanging="0"/>
              <w:jc w:val="center"/>
              <w:rPr>
                <w:rFonts w:ascii="Arial;Helvetica;sans-serif" w:hAnsi="Arial;Helvetica;sans-serif"/>
                <w:b/>
                <w:sz w:val="20"/>
              </w:rPr>
            </w:pPr>
            <w:r>
              <w:rPr>
                <w:rFonts w:ascii="Arial;Helvetica;sans-serif" w:hAnsi="Arial;Helvetica;sans-serif"/>
                <w:b/>
                <w:sz w:val="20"/>
              </w:rPr>
              <w:t>41-1801204</w:t>
            </w:r>
          </w:p>
        </w:tc>
      </w:tr>
      <w:tr>
        <w:trPr/>
        <w:tc>
          <w:tcPr>
            <w:tcW w:w="2581" w:type="dxa"/>
            <w:tcBorders/>
            <w:vAlign w:val="center"/>
          </w:tcPr>
          <w:p>
            <w:pPr>
              <w:pStyle w:val="TableContents"/>
              <w:bidi w:val="0"/>
              <w:spacing w:lineRule="auto" w:line="328" w:before="0" w:after="0"/>
              <w:ind w:left="0" w:right="0" w:hanging="0"/>
              <w:jc w:val="center"/>
              <w:rPr>
                <w:rFonts w:ascii="Arial;Helvetica;sans-serif" w:hAnsi="Arial;Helvetica;sans-serif"/>
                <w:sz w:val="20"/>
              </w:rPr>
            </w:pPr>
            <w:r>
              <w:rPr>
                <w:rFonts w:ascii="Arial;Helvetica;sans-serif" w:hAnsi="Arial;Helvetica;sans-serif"/>
                <w:sz w:val="20"/>
              </w:rPr>
              <w:t>(State or other jurisdiction of</w:t>
            </w:r>
          </w:p>
        </w:tc>
        <w:tc>
          <w:tcPr>
            <w:tcW w:w="146" w:type="dxa"/>
            <w:tcBorders/>
            <w:vAlign w:val="center"/>
          </w:tcPr>
          <w:p>
            <w:pPr>
              <w:pStyle w:val="TableContents"/>
              <w:bidi w:val="0"/>
              <w:spacing w:lineRule="auto" w:line="328" w:before="0" w:after="0"/>
              <w:ind w:left="0" w:right="0" w:hanging="0"/>
              <w:jc w:val="left"/>
              <w:rPr/>
            </w:pPr>
            <w:r>
              <w:rPr/>
              <w:t> </w:t>
            </w:r>
          </w:p>
        </w:tc>
        <w:tc>
          <w:tcPr>
            <w:tcW w:w="1246" w:type="dxa"/>
            <w:tcBorders/>
            <w:vAlign w:val="center"/>
          </w:tcPr>
          <w:p>
            <w:pPr>
              <w:pStyle w:val="TableContents"/>
              <w:bidi w:val="0"/>
              <w:spacing w:lineRule="auto" w:line="328" w:before="0" w:after="0"/>
              <w:ind w:left="0" w:right="0" w:hanging="0"/>
              <w:jc w:val="center"/>
              <w:rPr>
                <w:rFonts w:ascii="Arial;Helvetica;sans-serif" w:hAnsi="Arial;Helvetica;sans-serif"/>
                <w:sz w:val="20"/>
              </w:rPr>
            </w:pPr>
            <w:r>
              <w:rPr>
                <w:rFonts w:ascii="Arial;Helvetica;sans-serif" w:hAnsi="Arial;Helvetica;sans-serif"/>
                <w:sz w:val="20"/>
              </w:rPr>
              <w:t>(Commission</w:t>
            </w:r>
          </w:p>
        </w:tc>
        <w:tc>
          <w:tcPr>
            <w:tcW w:w="146" w:type="dxa"/>
            <w:tcBorders/>
            <w:vAlign w:val="center"/>
          </w:tcPr>
          <w:p>
            <w:pPr>
              <w:pStyle w:val="TableContents"/>
              <w:bidi w:val="0"/>
              <w:spacing w:lineRule="auto" w:line="328" w:before="0" w:after="0"/>
              <w:ind w:left="0" w:right="0" w:hanging="0"/>
              <w:jc w:val="left"/>
              <w:rPr/>
            </w:pPr>
            <w:r>
              <w:rPr/>
              <w:t> </w:t>
            </w:r>
          </w:p>
        </w:tc>
        <w:tc>
          <w:tcPr>
            <w:tcW w:w="1681" w:type="dxa"/>
            <w:tcBorders/>
            <w:vAlign w:val="center"/>
          </w:tcPr>
          <w:p>
            <w:pPr>
              <w:pStyle w:val="TableContents"/>
              <w:bidi w:val="0"/>
              <w:spacing w:lineRule="auto" w:line="328" w:before="0" w:after="0"/>
              <w:ind w:left="0" w:right="0" w:hanging="0"/>
              <w:jc w:val="center"/>
              <w:rPr>
                <w:rFonts w:ascii="Arial;Helvetica;sans-serif" w:hAnsi="Arial;Helvetica;sans-serif"/>
                <w:sz w:val="20"/>
              </w:rPr>
            </w:pPr>
            <w:r>
              <w:rPr>
                <w:rFonts w:ascii="Arial;Helvetica;sans-serif" w:hAnsi="Arial;Helvetica;sans-serif"/>
                <w:sz w:val="20"/>
              </w:rPr>
              <w:t>(I.R.S. Employer</w:t>
            </w:r>
          </w:p>
        </w:tc>
      </w:tr>
      <w:tr>
        <w:trPr/>
        <w:tc>
          <w:tcPr>
            <w:tcW w:w="2581" w:type="dxa"/>
            <w:tcBorders/>
            <w:vAlign w:val="center"/>
          </w:tcPr>
          <w:p>
            <w:pPr>
              <w:pStyle w:val="TableContents"/>
              <w:bidi w:val="0"/>
              <w:spacing w:lineRule="auto" w:line="328" w:before="0" w:after="0"/>
              <w:ind w:left="0" w:right="0" w:hanging="0"/>
              <w:jc w:val="center"/>
              <w:rPr>
                <w:rFonts w:ascii="Arial;Helvetica;sans-serif" w:hAnsi="Arial;Helvetica;sans-serif"/>
                <w:sz w:val="20"/>
              </w:rPr>
            </w:pPr>
            <w:r>
              <w:rPr>
                <w:rFonts w:ascii="Arial;Helvetica;sans-serif" w:hAnsi="Arial;Helvetica;sans-serif"/>
                <w:sz w:val="20"/>
              </w:rPr>
              <w:t>incorporation)</w:t>
            </w:r>
          </w:p>
        </w:tc>
        <w:tc>
          <w:tcPr>
            <w:tcW w:w="146" w:type="dxa"/>
            <w:tcBorders/>
            <w:vAlign w:val="center"/>
          </w:tcPr>
          <w:p>
            <w:pPr>
              <w:pStyle w:val="TableContents"/>
              <w:bidi w:val="0"/>
              <w:spacing w:lineRule="auto" w:line="328" w:before="0" w:after="0"/>
              <w:ind w:left="0" w:right="0" w:hanging="0"/>
              <w:jc w:val="left"/>
              <w:rPr/>
            </w:pPr>
            <w:r>
              <w:rPr/>
              <w:t> </w:t>
            </w:r>
          </w:p>
        </w:tc>
        <w:tc>
          <w:tcPr>
            <w:tcW w:w="1246" w:type="dxa"/>
            <w:tcBorders/>
            <w:vAlign w:val="center"/>
          </w:tcPr>
          <w:p>
            <w:pPr>
              <w:pStyle w:val="TableContents"/>
              <w:bidi w:val="0"/>
              <w:spacing w:lineRule="auto" w:line="328" w:before="0" w:after="0"/>
              <w:ind w:left="0" w:right="0" w:hanging="0"/>
              <w:jc w:val="center"/>
              <w:rPr>
                <w:rFonts w:ascii="Arial;Helvetica;sans-serif" w:hAnsi="Arial;Helvetica;sans-serif"/>
                <w:sz w:val="20"/>
              </w:rPr>
            </w:pPr>
            <w:r>
              <w:rPr>
                <w:rFonts w:ascii="Arial;Helvetica;sans-serif" w:hAnsi="Arial;Helvetica;sans-serif"/>
                <w:sz w:val="20"/>
              </w:rPr>
              <w:t>File Number)</w:t>
            </w:r>
          </w:p>
        </w:tc>
        <w:tc>
          <w:tcPr>
            <w:tcW w:w="146" w:type="dxa"/>
            <w:tcBorders/>
            <w:vAlign w:val="center"/>
          </w:tcPr>
          <w:p>
            <w:pPr>
              <w:pStyle w:val="TableContents"/>
              <w:bidi w:val="0"/>
              <w:spacing w:lineRule="auto" w:line="328" w:before="0" w:after="0"/>
              <w:ind w:left="0" w:right="0" w:hanging="0"/>
              <w:jc w:val="left"/>
              <w:rPr/>
            </w:pPr>
            <w:r>
              <w:rPr/>
              <w:t> </w:t>
            </w:r>
          </w:p>
        </w:tc>
        <w:tc>
          <w:tcPr>
            <w:tcW w:w="1681" w:type="dxa"/>
            <w:tcBorders/>
            <w:vAlign w:val="center"/>
          </w:tcPr>
          <w:p>
            <w:pPr>
              <w:pStyle w:val="TableContents"/>
              <w:bidi w:val="0"/>
              <w:spacing w:lineRule="auto" w:line="328" w:before="0" w:after="0"/>
              <w:ind w:left="0" w:right="0" w:hanging="0"/>
              <w:jc w:val="center"/>
              <w:rPr>
                <w:rFonts w:ascii="Arial;Helvetica;sans-serif" w:hAnsi="Arial;Helvetica;sans-serif"/>
                <w:sz w:val="20"/>
              </w:rPr>
            </w:pPr>
            <w:r>
              <w:rPr>
                <w:rFonts w:ascii="Arial;Helvetica;sans-serif" w:hAnsi="Arial;Helvetica;sans-serif"/>
                <w:sz w:val="20"/>
              </w:rPr>
              <w:t>Identification No.)</w:t>
            </w:r>
          </w:p>
        </w:tc>
      </w:tr>
    </w:tbl>
    <w:p>
      <w:pPr>
        <w:pStyle w:val="TextBody"/>
        <w:bidi w:val="0"/>
        <w:spacing w:lineRule="auto" w:line="285" w:before="120" w:after="0"/>
        <w:ind w:left="0" w:right="0" w:hanging="0"/>
        <w:jc w:val="center"/>
        <w:rPr>
          <w:rFonts w:ascii="Times New Roman;Times;serif" w:hAnsi="Times New Roman;Times;serif"/>
          <w:sz w:val="24"/>
        </w:rPr>
      </w:pPr>
      <w:r>
        <w:rPr>
          <w:rFonts w:ascii="Arial;Helvetica;sans-serif" w:hAnsi="Arial;Helvetica;sans-serif"/>
          <w:b/>
          <w:sz w:val="20"/>
        </w:rPr>
        <w:t>3701 Wayzata Blvd, Suite 300, Minneapolis, MN</w:t>
      </w:r>
      <w:r>
        <w:rPr>
          <w:rFonts w:ascii="Times New Roman;Times;serif" w:hAnsi="Times New Roman;Times;serif"/>
          <w:sz w:val="24"/>
        </w:rPr>
        <w:t xml:space="preserve"> </w:t>
      </w:r>
      <w:r>
        <w:rPr>
          <w:rFonts w:ascii="Arial;Helvetica;sans-serif" w:hAnsi="Arial;Helvetica;sans-serif"/>
          <w:b/>
          <w:sz w:val="20"/>
        </w:rPr>
        <w:t>55416</w:t>
      </w:r>
    </w:p>
    <w:p>
      <w:pPr>
        <w:pStyle w:val="TextBody"/>
        <w:bidi w:val="0"/>
        <w:spacing w:lineRule="auto" w:line="285" w:before="0" w:after="120"/>
        <w:ind w:left="0" w:right="0" w:hanging="0"/>
        <w:jc w:val="center"/>
        <w:rPr>
          <w:rFonts w:ascii="Arial;Helvetica;sans-serif" w:hAnsi="Arial;Helvetica;sans-serif"/>
          <w:sz w:val="20"/>
        </w:rPr>
      </w:pPr>
      <w:r>
        <w:rPr>
          <w:rFonts w:ascii="Arial;Helvetica;sans-serif" w:hAnsi="Arial;Helvetica;sans-serif"/>
          <w:sz w:val="20"/>
        </w:rPr>
        <w:t>(Address of principal executive offices) (Zip Code)</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(612) 355-5100</w:t>
      </w:r>
    </w:p>
    <w:p>
      <w:pPr>
        <w:pStyle w:val="TextBody"/>
        <w:bidi w:val="0"/>
        <w:spacing w:lineRule="auto" w:line="285" w:before="0" w:after="100"/>
        <w:ind w:left="0" w:right="0" w:hanging="0"/>
        <w:jc w:val="center"/>
        <w:rPr>
          <w:rFonts w:ascii="Arial;Helvetica;sans-serif" w:hAnsi="Arial;Helvetica;sans-serif"/>
          <w:sz w:val="20"/>
        </w:rPr>
      </w:pPr>
      <w:r>
        <w:rPr>
          <w:rFonts w:ascii="Arial;Helvetica;sans-serif" w:hAnsi="Arial;Helvetica;sans-serif"/>
          <w:sz w:val="20"/>
        </w:rPr>
        <w:t>(Registrant’s telephone number, including area code)</w:t>
      </w:r>
    </w:p>
    <w:p>
      <w:pPr>
        <w:pStyle w:val="TextBody"/>
        <w:bidi w:val="0"/>
        <w:spacing w:lineRule="auto" w:line="285" w:before="0" w:after="0"/>
        <w:ind w:left="0" w:right="0" w:hanging="0"/>
        <w:jc w:val="center"/>
        <w:rPr/>
      </w:pPr>
      <w:r>
        <w:rPr/>
        <w:t> </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 </w:t>
      </w:r>
      <w:r>
        <w:rPr>
          <w:rFonts w:ascii="Arial;Helvetica;sans-serif" w:hAnsi="Arial;Helvetica;sans-serif"/>
          <w:sz w:val="20"/>
        </w:rPr>
        <w:t>Written communications pursuant to Rule 425 under the Securities Act (17 CFR 230.425)</w:t>
      </w:r>
    </w:p>
    <w:p>
      <w:pPr>
        <w:pStyle w:val="TextBody"/>
        <w:bidi w:val="0"/>
        <w:spacing w:lineRule="auto" w:line="285" w:before="0" w:after="0"/>
        <w:ind w:left="0" w:right="0" w:hanging="0"/>
        <w:jc w:val="left"/>
        <w:rPr/>
      </w:pPr>
      <w:r>
        <w:rPr/>
        <w:t>☐ </w:t>
      </w:r>
      <w:r>
        <w:rPr>
          <w:rFonts w:ascii="Arial;Helvetica;sans-serif" w:hAnsi="Arial;Helvetica;sans-serif"/>
          <w:sz w:val="20"/>
        </w:rPr>
        <w:t>Soliciting material pursuant to Rule 14a-12 under the Exchange Act (17 CFR 240.14a-12)</w:t>
      </w:r>
    </w:p>
    <w:p>
      <w:pPr>
        <w:pStyle w:val="TextBody"/>
        <w:pBdr/>
        <w:bidi w:val="0"/>
        <w:spacing w:lineRule="auto" w:line="285" w:before="0" w:after="0"/>
        <w:ind w:left="0" w:right="0" w:hanging="288"/>
        <w:jc w:val="left"/>
        <w:rPr/>
      </w:pPr>
      <w:r>
        <w:rPr/>
        <w:t>☐ </w:t>
      </w:r>
      <w:r>
        <w:rPr>
          <w:rFonts w:ascii="Arial;Helvetica;sans-serif" w:hAnsi="Arial;Helvetica;sans-serif"/>
          <w:sz w:val="20"/>
        </w:rPr>
        <w:t>Pre-commencement communications pursuant to Rule 14d-2(b) under the Exchange Act (17 CFR 240.14d-2(b))</w:t>
      </w:r>
    </w:p>
    <w:p>
      <w:pPr>
        <w:pStyle w:val="TextBody"/>
        <w:pBdr/>
        <w:bidi w:val="0"/>
        <w:spacing w:lineRule="auto" w:line="285" w:before="0" w:after="0"/>
        <w:ind w:left="0" w:right="0" w:hanging="288"/>
        <w:jc w:val="left"/>
        <w:rPr/>
      </w:pPr>
      <w:r>
        <w:rPr/>
        <w:t>☐ </w:t>
      </w:r>
      <w:r>
        <w:rPr>
          <w:rFonts w:ascii="Arial;Helvetica;sans-serif" w:hAnsi="Arial;Helvetica;sans-serif"/>
          <w:sz w:val="20"/>
        </w:rPr>
        <w:t>Pre-commencement communications pursuant to Rule 13e-4(c) under the Exchange Act (17 CFR 240.13e-4(c))</w:t>
      </w:r>
    </w:p>
    <w:p>
      <w:pPr>
        <w:pStyle w:val="TextBody"/>
        <w:shd w:fill="FFFFFF" w:val="clear"/>
        <w:bidi w:val="0"/>
        <w:spacing w:lineRule="auto" w:line="285" w:before="0" w:after="120"/>
        <w:ind w:left="0" w:right="0" w:hanging="0"/>
        <w:jc w:val="center"/>
        <w:rPr>
          <w:rFonts w:ascii="Arial;Helvetica;sans-serif" w:hAnsi="Arial;Helvetica;sans-serif"/>
          <w:b/>
          <w:sz w:val="20"/>
        </w:rPr>
      </w:pPr>
      <w:r>
        <w:rPr>
          <w:rFonts w:ascii="Arial;Helvetica;sans-serif" w:hAnsi="Arial;Helvetica;sans-serif"/>
          <w:b/>
          <w:sz w:val="20"/>
        </w:rPr>
        <w:t>Securities registered pursuant to Section 12(b) of the Act:</w:t>
      </w:r>
    </w:p>
    <w:p>
      <w:pPr>
        <w:pStyle w:val="Normal"/>
        <w:bidi w:val="0"/>
        <w:spacing w:before="0" w:after="0"/>
        <w:jc w:val="left"/>
        <w:rPr>
          <w:sz w:val="4"/>
          <w:szCs w:val="4"/>
        </w:rPr>
      </w:pPr>
      <w:r>
        <w:rPr>
          <w:sz w:val="4"/>
          <w:szCs w:val="4"/>
        </w:rPr>
      </w:r>
      <w:bookmarkStart w:id="17" w:name="Tc_S7pfwlCnSk26Mh4HbgP64A_1_2"/>
      <w:bookmarkStart w:id="18" w:name="Tc_yO4hUz1u5kCSE65e7rxEjw_1_1"/>
      <w:bookmarkStart w:id="19" w:name="Tc_Pv8jsxXAe0y-b17WBOd5rg_1_0"/>
      <w:bookmarkStart w:id="20" w:name="_09eb8427_5819_4c61_9ec3_9ddaca4bca0c"/>
      <w:bookmarkStart w:id="21" w:name="Tc_S7pfwlCnSk26Mh4HbgP64A_1_2"/>
      <w:bookmarkStart w:id="22" w:name="Tc_yO4hUz1u5kCSE65e7rxEjw_1_1"/>
      <w:bookmarkStart w:id="23" w:name="Tc_Pv8jsxXAe0y-b17WBOd5rg_1_0"/>
      <w:bookmarkStart w:id="24" w:name="_09eb8427_5819_4c61_9ec3_9ddaca4bca0c"/>
      <w:bookmarkEnd w:id="21"/>
      <w:bookmarkEnd w:id="22"/>
      <w:bookmarkEnd w:id="23"/>
      <w:bookmarkEnd w:id="24"/>
    </w:p>
    <w:tbl>
      <w:tblPr>
        <w:tblW w:w="10113" w:type="dxa"/>
        <w:jc w:val="left"/>
        <w:tblInd w:w="0" w:type="dxa"/>
        <w:tblLayout w:type="fixed"/>
        <w:tblCellMar>
          <w:top w:w="0" w:type="dxa"/>
          <w:left w:w="0" w:type="dxa"/>
          <w:bottom w:w="0" w:type="dxa"/>
          <w:right w:w="0" w:type="dxa"/>
        </w:tblCellMar>
      </w:tblPr>
      <w:tblGrid>
        <w:gridCol w:w="4021"/>
        <w:gridCol w:w="1831"/>
        <w:gridCol w:w="426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831" w:type="dxa"/>
            <w:tcBorders/>
            <w:vAlign w:val="center"/>
          </w:tcPr>
          <w:p>
            <w:pPr>
              <w:pStyle w:val="TableContents"/>
              <w:bidi w:val="0"/>
              <w:spacing w:before="0" w:after="283"/>
              <w:ind w:left="0" w:right="0" w:hanging="0"/>
              <w:jc w:val="left"/>
              <w:rPr>
                <w:sz w:val="4"/>
                <w:szCs w:val="4"/>
              </w:rPr>
            </w:pPr>
            <w:r>
              <w:rPr>
                <w:sz w:val="4"/>
                <w:szCs w:val="4"/>
              </w:rPr>
            </w:r>
          </w:p>
        </w:tc>
        <w:tc>
          <w:tcPr>
            <w:tcW w:w="4261" w:type="dxa"/>
            <w:tcBorders/>
            <w:vAlign w:val="center"/>
          </w:tcPr>
          <w:p>
            <w:pPr>
              <w:pStyle w:val="TableContents"/>
              <w:bidi w:val="0"/>
              <w:spacing w:before="0" w:after="283"/>
              <w:ind w:left="0" w:right="0" w:hanging="0"/>
              <w:jc w:val="left"/>
              <w:rPr>
                <w:sz w:val="4"/>
                <w:szCs w:val="4"/>
              </w:rPr>
            </w:pPr>
            <w:r>
              <w:rPr>
                <w:sz w:val="4"/>
                <w:szCs w:val="4"/>
              </w:rPr>
            </w:r>
          </w:p>
        </w:tc>
      </w:tr>
      <w:tr>
        <w:trPr/>
        <w:tc>
          <w:tcPr>
            <w:tcW w:w="4021" w:type="dxa"/>
            <w:tcBorders/>
            <w:vAlign w:val="center"/>
          </w:tcPr>
          <w:p>
            <w:pPr>
              <w:pStyle w:val="TableContents"/>
              <w:bidi w:val="0"/>
              <w:spacing w:lineRule="auto" w:line="285" w:before="0" w:after="44"/>
              <w:ind w:left="0" w:right="0" w:hanging="0"/>
              <w:jc w:val="center"/>
              <w:rPr>
                <w:rFonts w:ascii="Arial;Helvetica;sans-serif" w:hAnsi="Arial;Helvetica;sans-serif"/>
                <w:b/>
                <w:sz w:val="20"/>
              </w:rPr>
            </w:pPr>
            <w:r>
              <w:rPr>
                <w:rFonts w:ascii="Arial;Helvetica;sans-serif" w:hAnsi="Arial;Helvetica;sans-serif"/>
                <w:b/>
                <w:sz w:val="20"/>
              </w:rPr>
              <w:t>Title of each class</w:t>
            </w:r>
          </w:p>
        </w:tc>
        <w:tc>
          <w:tcPr>
            <w:tcW w:w="1831" w:type="dxa"/>
            <w:tcBorders/>
            <w:vAlign w:val="center"/>
          </w:tcPr>
          <w:p>
            <w:pPr>
              <w:pStyle w:val="TableContents"/>
              <w:bidi w:val="0"/>
              <w:spacing w:lineRule="auto" w:line="285" w:before="0" w:after="44"/>
              <w:ind w:left="0" w:right="0" w:hanging="0"/>
              <w:jc w:val="center"/>
              <w:rPr>
                <w:rFonts w:ascii="Arial;Helvetica;sans-serif" w:hAnsi="Arial;Helvetica;sans-serif"/>
                <w:b/>
                <w:sz w:val="20"/>
              </w:rPr>
            </w:pPr>
            <w:r>
              <w:rPr>
                <w:rFonts w:ascii="Arial;Helvetica;sans-serif" w:hAnsi="Arial;Helvetica;sans-serif"/>
                <w:b/>
                <w:sz w:val="20"/>
              </w:rPr>
              <w:t>Trading Symbol(s)</w:t>
            </w:r>
          </w:p>
        </w:tc>
        <w:tc>
          <w:tcPr>
            <w:tcW w:w="4261" w:type="dxa"/>
            <w:tcBorders/>
            <w:vAlign w:val="center"/>
          </w:tcPr>
          <w:p>
            <w:pPr>
              <w:pStyle w:val="TableContents"/>
              <w:bidi w:val="0"/>
              <w:spacing w:lineRule="auto" w:line="285" w:before="0" w:after="44"/>
              <w:ind w:left="0" w:right="0" w:hanging="0"/>
              <w:jc w:val="center"/>
              <w:rPr>
                <w:rFonts w:ascii="Arial;Helvetica;sans-serif" w:hAnsi="Arial;Helvetica;sans-serif"/>
                <w:b/>
                <w:sz w:val="20"/>
              </w:rPr>
            </w:pPr>
            <w:r>
              <w:rPr>
                <w:rFonts w:ascii="Arial;Helvetica;sans-serif" w:hAnsi="Arial;Helvetica;sans-serif"/>
                <w:b/>
                <w:sz w:val="20"/>
              </w:rPr>
              <w:t>Name of each exchange on which registered</w:t>
            </w:r>
          </w:p>
        </w:tc>
      </w:tr>
      <w:tr>
        <w:trPr/>
        <w:tc>
          <w:tcPr>
            <w:tcW w:w="4021"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Common Stock, Par Value $0.001 Per Share</w:t>
            </w:r>
          </w:p>
        </w:tc>
        <w:tc>
          <w:tcPr>
            <w:tcW w:w="1831" w:type="dxa"/>
            <w:tcBorders/>
            <w:vAlign w:val="center"/>
          </w:tcPr>
          <w:p>
            <w:pPr>
              <w:pStyle w:val="TableContents"/>
              <w:bidi w:val="0"/>
              <w:spacing w:lineRule="auto" w:line="285" w:before="0" w:after="44"/>
              <w:ind w:left="0" w:right="0" w:hanging="0"/>
              <w:jc w:val="center"/>
              <w:rPr>
                <w:rFonts w:ascii="Arial;Helvetica;sans-serif" w:hAnsi="Arial;Helvetica;sans-serif"/>
                <w:sz w:val="20"/>
              </w:rPr>
            </w:pPr>
            <w:r>
              <w:rPr>
                <w:rFonts w:ascii="Arial;Helvetica;sans-serif" w:hAnsi="Arial;Helvetica;sans-serif"/>
                <w:sz w:val="20"/>
              </w:rPr>
              <w:t>TCMD</w:t>
            </w:r>
          </w:p>
        </w:tc>
        <w:tc>
          <w:tcPr>
            <w:tcW w:w="4261" w:type="dxa"/>
            <w:tcBorders/>
            <w:vAlign w:val="center"/>
          </w:tcPr>
          <w:p>
            <w:pPr>
              <w:pStyle w:val="TableContents"/>
              <w:bidi w:val="0"/>
              <w:spacing w:lineRule="auto" w:line="285" w:before="0" w:after="44"/>
              <w:ind w:left="0" w:right="0" w:hanging="0"/>
              <w:jc w:val="center"/>
              <w:rPr>
                <w:rFonts w:ascii="Arial;Helvetica;sans-serif" w:hAnsi="Arial;Helvetica;sans-serif"/>
                <w:sz w:val="20"/>
              </w:rPr>
            </w:pPr>
            <w:r>
              <w:rPr>
                <w:rFonts w:ascii="Arial;Helvetica;sans-serif" w:hAnsi="Arial;Helvetica;sans-serif"/>
                <w:sz w:val="20"/>
              </w:rPr>
              <w:t>The Nasdaq Stock Market LLC</w:t>
            </w:r>
          </w:p>
        </w:tc>
      </w:tr>
    </w:tbl>
    <w:p>
      <w:pPr>
        <w:pStyle w:val="TextBody"/>
        <w:pBdr/>
        <w:bidi w:val="0"/>
        <w:spacing w:lineRule="auto" w:line="285" w:before="0" w:after="0"/>
        <w:ind w:left="0" w:right="0" w:hanging="288"/>
        <w:jc w:val="left"/>
        <w:rPr/>
      </w:pPr>
      <w:r>
        <w:rPr/>
        <w:t>​</w:t>
      </w:r>
    </w:p>
    <w:p>
      <w:pPr>
        <w:pStyle w:val="TextBody"/>
        <w:bidi w:val="0"/>
        <w:spacing w:lineRule="auto" w:line="285" w:before="0" w:after="120"/>
        <w:ind w:left="0" w:right="0" w:hanging="0"/>
        <w:jc w:val="left"/>
        <w:rPr>
          <w:rFonts w:ascii="Times New Roman;Times;serif" w:hAnsi="Times New Roman;Times;serif"/>
          <w:sz w:val="24"/>
        </w:rPr>
      </w:pPr>
      <w:r>
        <w:rPr>
          <w:rFonts w:ascii="Arial;Helvetica;sans-serif" w:hAnsi="Arial;Helvetica;sans-serif"/>
          <w:sz w:val="20"/>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Times;serif" w:hAnsi="Times New Roman;Times;serif"/>
          <w:sz w:val="24"/>
        </w:rPr>
        <w:t xml:space="preserve">☐ </w:t>
      </w:r>
      <w:r>
        <w:rPr>
          <w:rFonts w:ascii="Arial;Helvetica;sans-serif" w:hAnsi="Arial;Helvetica;sans-serif"/>
          <w:sz w:val="20"/>
        </w:rPr>
        <w:t xml:space="preserve">Emerging growth company </w:t>
      </w:r>
    </w:p>
    <w:p>
      <w:pPr>
        <w:pStyle w:val="TextBody"/>
        <w:bidi w:val="0"/>
        <w:spacing w:lineRule="auto" w:line="285" w:before="0" w:after="0"/>
        <w:ind w:left="0" w:right="0" w:hanging="0"/>
        <w:jc w:val="left"/>
        <w:rPr>
          <w:rFonts w:ascii="Times New Roman;Times;serif" w:hAnsi="Times New Roman;Times;serif"/>
          <w:sz w:val="20"/>
        </w:rPr>
      </w:pPr>
      <w:r>
        <w:rPr>
          <w:rFonts w:ascii="Arial;Helvetica;sans-serif" w:hAnsi="Arial;Helvetica;san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24" w:space="1" w:color="000000"/>
        </w:pBdr>
        <w:bidi w:val="0"/>
        <w:spacing w:lineRule="auto" w:line="285" w:before="0" w:after="0"/>
        <w:ind w:left="0" w:right="0" w:hanging="0"/>
        <w:jc w:val="left"/>
        <w:rPr>
          <w:bdr w:val="single" w:sz="8" w:space="1" w:color="000000"/>
        </w:rPr>
      </w:pPr>
      <w:r>
        <w:rPr>
          <w:bdr w:val="single" w:sz="8" w:space="1" w:color="00000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bookmarkStart w:id="25" w:name="_2da68e38_3099_4517_b61e_8e5d84308f4e"/>
      <w:bookmarkEnd w:id="25"/>
      <w:r>
        <w:rPr>
          <w:rFonts w:ascii="Arial;Helvetica;sans-serif" w:hAnsi="Arial;Helvetica;sans-serif"/>
          <w:b/>
          <w:sz w:val="20"/>
        </w:rPr>
        <w:t>Item 2.02. Results of Operations and Financial Condition.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Arial;Helvetica;sans-serif" w:hAnsi="Arial;Helvetica;sans-serif"/>
          <w:sz w:val="20"/>
        </w:rPr>
      </w:pPr>
      <w:r>
        <w:rPr>
          <w:rFonts w:ascii="Arial;Helvetica;sans-serif" w:hAnsi="Arial;Helvetica;sans-serif"/>
          <w:sz w:val="20"/>
        </w:rPr>
        <w:t>On August 10, 2026, Tactile Systems Technology, Inc. (“we,” “us,” and “our”) issued a press release disclosing our results of operations and financial condition for our most recently completed fiscal quarter. A copy of the press release is attached hereto as Exhibit 99.1.</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Arial;Helvetica;sans-serif" w:hAnsi="Arial;Helvetica;sans-serif"/>
          <w:sz w:val="20"/>
        </w:rPr>
      </w:pPr>
      <w:r>
        <w:rPr>
          <w:rFonts w:ascii="Arial;Helvetica;sans-serif" w:hAnsi="Arial;Helvetica;sans-serif"/>
          <w:sz w:val="20"/>
        </w:rPr>
        <w:t>In accordance with General Instruction B.2 of Form 8-K, the information in this Item 2.02, including Exhibit 99.1, shall not be deemed to be “filed” for purposes of Section 18 of the Securities Exchange Act of 1934 or otherwise subject to the liability of that section, and shall not be incorporated by reference into any registration statement or other document filed under the Securities Act of 1933 or the Securities Exchange Act of 1934, except as shall be expressly set forth by specific reference in that filing.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Item 9.01. Financial Statements and Exhibits.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 Exhibits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26" w:name="_19c0f5bb_1bf6_4e70_8eb3_1a2bf26c259b"/>
      <w:bookmarkEnd w:id="26"/>
      <w:r>
        <w:rPr>
          <w:rFonts w:ascii="Arial;Helvetica;sans-serif" w:hAnsi="Arial;Helvetica;sans-serif"/>
          <w:b/>
          <w:sz w:val="20"/>
        </w:rPr>
        <w:t>EXHIBIT INDEX</w:t>
      </w:r>
    </w:p>
    <w:p>
      <w:pPr>
        <w:pStyle w:val="TextBody"/>
        <w:bidi w:val="0"/>
        <w:spacing w:lineRule="auto" w:line="285" w:before="0" w:after="0"/>
        <w:ind w:left="0" w:right="0" w:hanging="0"/>
        <w:jc w:val="left"/>
        <w:rPr/>
      </w:pPr>
      <w:r>
        <w:rPr/>
        <w:t>​</w:t>
      </w:r>
    </w:p>
    <w:tbl>
      <w:tblPr>
        <w:tblW w:w="8635" w:type="dxa"/>
        <w:jc w:val="left"/>
        <w:tblInd w:w="0" w:type="dxa"/>
        <w:tblLayout w:type="fixed"/>
        <w:tblCellMar>
          <w:top w:w="0" w:type="dxa"/>
          <w:left w:w="0" w:type="dxa"/>
          <w:bottom w:w="0" w:type="dxa"/>
          <w:right w:w="0" w:type="dxa"/>
        </w:tblCellMar>
      </w:tblPr>
      <w:tblGrid>
        <w:gridCol w:w="646"/>
        <w:gridCol w:w="42"/>
        <w:gridCol w:w="104"/>
        <w:gridCol w:w="2411"/>
        <w:gridCol w:w="4504"/>
        <w:gridCol w:w="928"/>
      </w:tblGrid>
      <w:tr>
        <w:trPr/>
        <w:tc>
          <w:tcPr>
            <w:tcW w:w="68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36880" cy="29210"/>
                      <wp:effectExtent l="0" t="0" r="0" b="0"/>
                      <wp:wrapNone/>
                      <wp:docPr id="3" name="Frame3"/>
                      <a:graphic xmlns:a="http://schemas.openxmlformats.org/drawingml/2006/main">
                        <a:graphicData uri="http://schemas.microsoft.com/office/word/2010/wordprocessingShape">
                          <wps:wsp>
                            <wps:cNvSpPr txBox="1"/>
                            <wps:spPr>
                              <a:xfrm>
                                <a:off x="0" y="0"/>
                                <a:ext cx="4368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1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597025" cy="29210"/>
                      <wp:effectExtent l="0" t="0" r="0" b="0"/>
                      <wp:wrapNone/>
                      <wp:docPr id="4" name="Frame4"/>
                      <a:graphic xmlns:a="http://schemas.openxmlformats.org/drawingml/2006/main">
                        <a:graphicData uri="http://schemas.microsoft.com/office/word/2010/wordprocessingShape">
                          <wps:wsp>
                            <wps:cNvSpPr txBox="1"/>
                            <wps:spPr>
                              <a:xfrm>
                                <a:off x="0" y="0"/>
                                <a:ext cx="1597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3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449320" cy="29210"/>
                      <wp:effectExtent l="0" t="0" r="0" b="0"/>
                      <wp:wrapNone/>
                      <wp:docPr id="5" name="Frame5"/>
                      <a:graphic xmlns:a="http://schemas.openxmlformats.org/drawingml/2006/main">
                        <a:graphicData uri="http://schemas.microsoft.com/office/word/2010/wordprocessingShape">
                          <wps:wsp>
                            <wps:cNvSpPr txBox="1"/>
                            <wps:spPr>
                              <a:xfrm>
                                <a:off x="0" y="0"/>
                                <a:ext cx="34493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88"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Arial;Helvetica;sans-serif" w:hAnsi="Arial;Helvetica;sans-serif"/>
                <w:b/>
                <w:sz w:val="16"/>
              </w:rPr>
            </w:pPr>
            <w:r>
              <w:rPr>
                <w:rFonts w:ascii="Arial;Helvetica;sans-serif" w:hAnsi="Arial;Helvetica;sans-serif"/>
                <w:b/>
                <w:sz w:val="16"/>
              </w:rPr>
              <w:t>Exhibit</w:t>
              <w:br/>
              <w:t>No.</w:t>
            </w:r>
          </w:p>
        </w:tc>
        <w:tc>
          <w:tcPr>
            <w:tcW w:w="2515"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pPr>
            <w:r>
              <w:rPr/>
              <w:t> </w:t>
            </w:r>
          </w:p>
        </w:tc>
        <w:tc>
          <w:tcPr>
            <w:tcW w:w="5432"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Arial;Helvetica;sans-serif" w:hAnsi="Arial;Helvetica;sans-serif"/>
                <w:b/>
                <w:sz w:val="16"/>
              </w:rPr>
            </w:pPr>
            <w:r>
              <w:rPr>
                <w:rFonts w:ascii="Arial;Helvetica;sans-serif" w:hAnsi="Arial;Helvetica;sans-serif"/>
                <w:b/>
                <w:sz w:val="16"/>
              </w:rPr>
              <w:t>Description</w:t>
            </w:r>
          </w:p>
        </w:tc>
      </w:tr>
      <w:tr>
        <w:trPr/>
        <w:tc>
          <w:tcPr>
            <w:tcW w:w="688" w:type="dxa"/>
            <w:gridSpan w:val="2"/>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2515" w:type="dxa"/>
            <w:gridSpan w:val="2"/>
            <w:tcBorders/>
            <w:vAlign w:val="center"/>
          </w:tcPr>
          <w:p>
            <w:pPr>
              <w:pStyle w:val="TableContents"/>
              <w:bidi w:val="0"/>
              <w:spacing w:lineRule="auto" w:line="285" w:before="0" w:after="0"/>
              <w:ind w:left="0" w:right="0" w:hanging="0"/>
              <w:jc w:val="center"/>
              <w:rPr/>
            </w:pPr>
            <w:r>
              <w:rPr/>
              <w:t>​</w:t>
            </w:r>
          </w:p>
        </w:tc>
        <w:tc>
          <w:tcPr>
            <w:tcW w:w="5432" w:type="dxa"/>
            <w:gridSpan w:val="2"/>
            <w:tcBorders>
              <w:top w:val="single" w:sz="2" w:space="0" w:color="000000"/>
            </w:tcBorders>
            <w:tcMar>
              <w:top w:w="28" w:type="dxa"/>
            </w:tcMar>
            <w:vAlign w:val="center"/>
          </w:tcPr>
          <w:p>
            <w:pPr>
              <w:pStyle w:val="TableContents"/>
              <w:bidi w:val="0"/>
              <w:spacing w:lineRule="auto" w:line="285" w:before="0" w:after="0"/>
              <w:ind w:left="0" w:right="0" w:hanging="0"/>
              <w:jc w:val="center"/>
              <w:rPr/>
            </w:pPr>
            <w:r>
              <w:rPr/>
              <w:t>​</w:t>
            </w:r>
          </w:p>
        </w:tc>
      </w:tr>
      <w:tr>
        <w:trPr/>
        <w:tc>
          <w:tcPr>
            <w:tcW w:w="646"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99.1</w:t>
            </w:r>
          </w:p>
        </w:tc>
        <w:tc>
          <w:tcPr>
            <w:tcW w:w="146" w:type="dxa"/>
            <w:gridSpan w:val="2"/>
            <w:tcBorders/>
            <w:vAlign w:val="center"/>
          </w:tcPr>
          <w:p>
            <w:pPr>
              <w:pStyle w:val="TableContents"/>
              <w:bidi w:val="0"/>
              <w:spacing w:lineRule="auto" w:line="328" w:before="0" w:after="0"/>
              <w:ind w:left="0" w:right="0" w:hanging="0"/>
              <w:jc w:val="left"/>
              <w:rPr/>
            </w:pPr>
            <w:r>
              <w:rPr/>
              <w:t> </w:t>
            </w:r>
          </w:p>
        </w:tc>
        <w:tc>
          <w:tcPr>
            <w:tcW w:w="6915" w:type="dxa"/>
            <w:gridSpan w:val="2"/>
            <w:tcBorders/>
            <w:vAlign w:val="center"/>
          </w:tcPr>
          <w:p>
            <w:pPr>
              <w:pStyle w:val="TableContents"/>
              <w:bidi w:val="0"/>
              <w:spacing w:lineRule="auto" w:line="328" w:before="0" w:after="0"/>
              <w:ind w:left="0" w:right="0" w:hanging="0"/>
              <w:jc w:val="left"/>
              <w:rPr/>
            </w:pPr>
            <w:hyperlink w:anchor="tcmd-20260810xex99d1.htm">
              <w:r>
                <w:rPr>
                  <w:rStyle w:val="InternetLink"/>
                  <w:rFonts w:ascii="Times New Roman;Times;serif" w:hAnsi="Times New Roman;Times;serif"/>
                  <w:b w:val="false"/>
                  <w:i w:val="false"/>
                  <w:caps w:val="false"/>
                  <w:smallCaps w:val="false"/>
                  <w:sz w:val="24"/>
                </w:rPr>
                <w:t>Press Release dated August 10, 2026 (Earnings Release)</w:t>
              </w:r>
            </w:hyperlink>
          </w:p>
        </w:tc>
        <w:tc>
          <w:tcPr>
            <w:tcW w:w="928"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146" w:type="dxa"/>
            <w:gridSpan w:val="2"/>
            <w:tcBorders/>
            <w:vAlign w:val="center"/>
          </w:tcPr>
          <w:p>
            <w:pPr>
              <w:pStyle w:val="TableContents"/>
              <w:bidi w:val="0"/>
              <w:spacing w:lineRule="auto" w:line="285" w:before="0" w:after="0"/>
              <w:ind w:left="0" w:right="0" w:hanging="0"/>
              <w:jc w:val="left"/>
              <w:rPr/>
            </w:pPr>
            <w:r>
              <w:rPr/>
              <w:t>​</w:t>
            </w:r>
          </w:p>
        </w:tc>
        <w:tc>
          <w:tcPr>
            <w:tcW w:w="6915" w:type="dxa"/>
            <w:gridSpan w:val="2"/>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c>
          <w:tcPr>
            <w:tcW w:w="928" w:type="dxa"/>
            <w:tcBorders/>
            <w:vAlign w:val="center"/>
          </w:tcPr>
          <w:p>
            <w:pPr>
              <w:pStyle w:val="TableContents"/>
              <w:bidi w:val="0"/>
              <w:spacing w:before="0" w:after="283"/>
              <w:ind w:left="0" w:right="0" w:hanging="0"/>
              <w:jc w:val="left"/>
              <w:rPr>
                <w:sz w:val="4"/>
                <w:szCs w:val="4"/>
              </w:rPr>
            </w:pPr>
            <w:r>
              <w:rPr>
                <w:sz w:val="4"/>
                <w:szCs w:val="4"/>
              </w:rPr>
            </w:r>
          </w:p>
        </w:tc>
      </w:tr>
      <w:tr>
        <w:trPr/>
        <w:tc>
          <w:tcPr>
            <w:tcW w:w="688" w:type="dxa"/>
            <w:gridSpan w:val="2"/>
            <w:tcBorders/>
            <w:vAlign w:val="center"/>
          </w:tcPr>
          <w:p>
            <w:pPr>
              <w:pStyle w:val="TableContents"/>
              <w:bidi w:val="0"/>
              <w:spacing w:lineRule="auto" w:line="285" w:before="0" w:after="0"/>
              <w:ind w:left="0" w:right="0" w:hanging="0"/>
              <w:jc w:val="left"/>
              <w:rPr/>
            </w:pPr>
            <w:r>
              <w:rPr/>
              <w:t>​</w:t>
            </w:r>
          </w:p>
        </w:tc>
        <w:tc>
          <w:tcPr>
            <w:tcW w:w="2515" w:type="dxa"/>
            <w:gridSpan w:val="2"/>
            <w:tcBorders/>
            <w:vAlign w:val="center"/>
          </w:tcPr>
          <w:p>
            <w:pPr>
              <w:pStyle w:val="TableContents"/>
              <w:bidi w:val="0"/>
              <w:spacing w:lineRule="auto" w:line="285" w:before="0" w:after="0"/>
              <w:ind w:left="0" w:right="0" w:hanging="0"/>
              <w:jc w:val="left"/>
              <w:rPr/>
            </w:pPr>
            <w:r>
              <w:rPr/>
              <w:t>​</w:t>
            </w:r>
          </w:p>
        </w:tc>
        <w:tc>
          <w:tcPr>
            <w:tcW w:w="5432" w:type="dxa"/>
            <w:gridSpan w:val="2"/>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27" w:name="_62ff10d8_0a6a_4921_807f_c9c7f829613f"/>
      <w:bookmarkEnd w:id="27"/>
      <w:r>
        <w:rPr>
          <w:rFonts w:ascii="Arial;Helvetica;sans-serif" w:hAnsi="Arial;Helvetica;san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left"/>
        <w:rPr/>
      </w:pPr>
      <w:r>
        <w:rPr/>
        <w:t>​</w:t>
      </w:r>
    </w:p>
    <w:tbl>
      <w:tblPr>
        <w:tblW w:w="6140" w:type="dxa"/>
        <w:jc w:val="left"/>
        <w:tblInd w:w="0" w:type="dxa"/>
        <w:tblLayout w:type="fixed"/>
        <w:tblCellMar>
          <w:top w:w="0" w:type="dxa"/>
          <w:left w:w="0" w:type="dxa"/>
          <w:bottom w:w="0" w:type="dxa"/>
          <w:right w:w="0" w:type="dxa"/>
        </w:tblCellMar>
      </w:tblPr>
      <w:tblGrid>
        <w:gridCol w:w="2131"/>
        <w:gridCol w:w="109"/>
        <w:gridCol w:w="582"/>
        <w:gridCol w:w="3318"/>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900" w:type="dxa"/>
            <w:gridSpan w:val="2"/>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TACTILE SYSTEMS TECHNOLOGY, INC.</w:t>
            </w:r>
          </w:p>
        </w:tc>
      </w:tr>
      <w:tr>
        <w:trPr/>
        <w:tc>
          <w:tcPr>
            <w:tcW w:w="21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90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90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Arial;Helvetica;sans-serif" w:hAnsi="Arial;Helvetica;sans-serif"/>
                <w:sz w:val="20"/>
              </w:rPr>
              <w:t>Date: A</w:t>
            </w:r>
            <w:r>
              <w:rPr>
                <w:rFonts w:ascii="Times New Roman;Times;serif" w:hAnsi="Times New Roman;Times;serif"/>
                <w:sz w:val="24"/>
              </w:rPr>
              <w:t>ugust 10</w:t>
            </w:r>
            <w:r>
              <w:rPr>
                <w:rFonts w:ascii="Arial;Helvetica;sans-serif" w:hAnsi="Arial;Helvetica;sans-serif"/>
                <w:sz w:val="20"/>
              </w:rPr>
              <w:t>,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82"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318"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Arial;Helvetica;sans-serif" w:hAnsi="Arial;Helvetica;sans-serif"/>
                <w:sz w:val="20"/>
              </w:rPr>
              <w:t xml:space="preserve">/s/ </w:t>
            </w:r>
            <w:r>
              <w:rPr>
                <w:rFonts w:ascii="Arial;Helvetica;sans-serif" w:hAnsi="Arial;Helvetica;sans-serif"/>
                <w:i/>
                <w:sz w:val="20"/>
              </w:rPr>
              <w:t>Elaine M. Birkemeyer</w:t>
            </w:r>
          </w:p>
        </w:tc>
      </w:tr>
      <w:tr>
        <w:trPr/>
        <w:tc>
          <w:tcPr>
            <w:tcW w:w="21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82" w:type="dxa"/>
            <w:tcBorders/>
            <w:vAlign w:val="center"/>
          </w:tcPr>
          <w:p>
            <w:pPr>
              <w:pStyle w:val="TableContents"/>
              <w:bidi w:val="0"/>
              <w:spacing w:before="0" w:after="283"/>
              <w:ind w:left="0" w:right="0" w:hanging="0"/>
              <w:jc w:val="left"/>
              <w:rPr>
                <w:sz w:val="4"/>
                <w:szCs w:val="4"/>
              </w:rPr>
            </w:pPr>
            <w:r>
              <w:rPr>
                <w:sz w:val="4"/>
                <w:szCs w:val="4"/>
              </w:rPr>
            </w:r>
          </w:p>
        </w:tc>
        <w:tc>
          <w:tcPr>
            <w:tcW w:w="3318"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Elaine M. Birkemeyer</w:t>
            </w:r>
          </w:p>
        </w:tc>
      </w:tr>
      <w:tr>
        <w:trPr/>
        <w:tc>
          <w:tcPr>
            <w:tcW w:w="21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82" w:type="dxa"/>
            <w:tcBorders/>
            <w:vAlign w:val="center"/>
          </w:tcPr>
          <w:p>
            <w:pPr>
              <w:pStyle w:val="TableContents"/>
              <w:bidi w:val="0"/>
              <w:spacing w:before="0" w:after="283"/>
              <w:ind w:left="0" w:right="0" w:hanging="0"/>
              <w:jc w:val="left"/>
              <w:rPr>
                <w:sz w:val="4"/>
                <w:szCs w:val="4"/>
              </w:rPr>
            </w:pPr>
            <w:r>
              <w:rPr>
                <w:sz w:val="4"/>
                <w:szCs w:val="4"/>
              </w:rPr>
            </w:r>
          </w:p>
        </w:tc>
        <w:tc>
          <w:tcPr>
            <w:tcW w:w="3318"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Arial;Helvetica;sans-serif" w:hAnsi="Arial;Helvetica;sans-serif"/>
          <w:sz w:val="20"/>
        </w:rPr>
      </w:pPr>
      <w:bookmarkStart w:id="28" w:name="tcmd-20260810xex99d1.htm"/>
      <w:bookmarkStart w:id="29" w:name="kstcmd20260810xex99d1"/>
      <w:bookmarkEnd w:id="28"/>
      <w:bookmarkEnd w:id="29"/>
      <w:r>
        <w:rPr>
          <w:rFonts w:ascii="Arial;Helvetica;sans-serif" w:hAnsi="Arial;Helvetica;sans-serif"/>
          <w:sz w:val="20"/>
        </w:rPr>
        <w:t>Exhibit 99.1</w:t>
      </w:r>
      <w:r>
        <w:br w:type="page"/>
      </w:r>
    </w:p>
    <w:p>
      <w:pPr>
        <w:pStyle w:val="TextBody"/>
        <w:bidi w:val="0"/>
        <w:spacing w:lineRule="auto" w:line="328" w:before="0" w:after="200"/>
        <w:ind w:left="0" w:right="0" w:hanging="0"/>
        <w:jc w:val="center"/>
        <w:rPr>
          <w:rFonts w:ascii="Arial;Helvetica;sans-serif" w:hAnsi="Arial;Helvetica;sans-serif"/>
          <w:b/>
          <w:spacing w:val="2"/>
          <w:sz w:val="22"/>
        </w:rPr>
      </w:pPr>
      <w:bookmarkStart w:id="30" w:name="_Hlk64535545"/>
      <w:bookmarkEnd w:id="30"/>
      <w:r>
        <w:rPr>
          <w:rFonts w:ascii="Arial;Helvetica;sans-serif" w:hAnsi="Arial;Helvetica;sans-serif"/>
          <w:b/>
          <w:spacing w:val="2"/>
          <w:sz w:val="22"/>
        </w:rPr>
        <w:t>Tactile Systems Technology, Inc. Reports Second Quarter 2026 Financial Results</w:t>
      </w:r>
    </w:p>
    <w:p>
      <w:pPr>
        <w:pStyle w:val="TextBody"/>
        <w:bidi w:val="0"/>
        <w:spacing w:lineRule="auto" w:line="328" w:before="0" w:after="200"/>
        <w:ind w:left="0" w:right="0" w:hanging="0"/>
        <w:jc w:val="both"/>
        <w:rPr>
          <w:rFonts w:ascii="Times New Roman;Times;serif" w:hAnsi="Times New Roman;Times;serif"/>
          <w:sz w:val="22"/>
        </w:rPr>
      </w:pPr>
      <w:r>
        <w:rPr>
          <w:rFonts w:ascii="Arial;Helvetica;sans-serif" w:hAnsi="Arial;Helvetica;sans-serif"/>
          <w:spacing w:val="2"/>
          <w:sz w:val="22"/>
        </w:rPr>
        <w:t>MINNEAPOLIS, MN, August 10th, 2026 – Tactile Systems Technology, Inc. (“Tactile Medical”; the “Company”) (Nasdaq: TCMD), a medical technology company providing therapies for people with chronic disorders, today reported financial results for the second quarter ended June 30, 2026</w:t>
      </w:r>
      <w:r>
        <w:rPr>
          <w:rFonts w:ascii="Arial;Helvetica;sans-serif" w:hAnsi="Arial;Helvetica;sans-serif"/>
          <w:spacing w:val="-4"/>
          <w:sz w:val="22"/>
        </w:rPr>
        <w:t>.</w:t>
      </w:r>
    </w:p>
    <w:p>
      <w:pPr>
        <w:pStyle w:val="TextBody"/>
        <w:bidi w:val="0"/>
        <w:spacing w:lineRule="auto" w:line="285" w:before="280" w:after="0"/>
        <w:ind w:left="0" w:right="0" w:hanging="0"/>
        <w:jc w:val="left"/>
        <w:rPr>
          <w:rFonts w:ascii="Arial;Helvetica;sans-serif" w:hAnsi="Arial;Helvetica;sans-serif"/>
          <w:b/>
          <w:sz w:val="22"/>
        </w:rPr>
      </w:pPr>
      <w:r>
        <w:rPr>
          <w:rFonts w:ascii="Arial;Helvetica;sans-serif" w:hAnsi="Arial;Helvetica;sans-serif"/>
          <w:b/>
          <w:sz w:val="22"/>
        </w:rPr>
        <w:t>Second Quarter 2026 Summary and Recent Business Highlights:</w:t>
      </w:r>
    </w:p>
    <w:tbl>
      <w:tblPr>
        <w:tblW w:w="5958" w:type="dxa"/>
        <w:jc w:val="left"/>
        <w:tblInd w:w="0" w:type="dxa"/>
        <w:tblLayout w:type="fixed"/>
        <w:tblCellMar>
          <w:top w:w="0" w:type="dxa"/>
          <w:left w:w="0" w:type="dxa"/>
          <w:bottom w:w="0" w:type="dxa"/>
          <w:right w:w="0" w:type="dxa"/>
        </w:tblCellMar>
      </w:tblPr>
      <w:tblGrid>
        <w:gridCol w:w="23"/>
        <w:gridCol w:w="17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Total revenue increased 9% year-over-year to $85.7 million</w:t>
            </w:r>
          </w:p>
        </w:tc>
      </w:tr>
    </w:tbl>
    <w:tbl>
      <w:tblPr>
        <w:tblW w:w="5418" w:type="dxa"/>
        <w:jc w:val="left"/>
        <w:tblInd w:w="0" w:type="dxa"/>
        <w:tblLayout w:type="fixed"/>
        <w:tblCellMar>
          <w:top w:w="0" w:type="dxa"/>
          <w:left w:w="0" w:type="dxa"/>
          <w:bottom w:w="0" w:type="dxa"/>
          <w:right w:w="0" w:type="dxa"/>
        </w:tblCellMar>
      </w:tblPr>
      <w:tblGrid>
        <w:gridCol w:w="23"/>
        <w:gridCol w:w="170"/>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Gross margin expanded to 76% from 75% in Q2 2025</w:t>
            </w:r>
          </w:p>
        </w:tc>
      </w:tr>
    </w:tbl>
    <w:tbl>
      <w:tblPr>
        <w:tblW w:w="6483" w:type="dxa"/>
        <w:jc w:val="left"/>
        <w:tblInd w:w="0" w:type="dxa"/>
        <w:tblLayout w:type="fixed"/>
        <w:tblCellMar>
          <w:top w:w="0" w:type="dxa"/>
          <w:left w:w="0" w:type="dxa"/>
          <w:bottom w:w="0" w:type="dxa"/>
          <w:right w:w="0" w:type="dxa"/>
        </w:tblCellMar>
      </w:tblPr>
      <w:tblGrid>
        <w:gridCol w:w="23"/>
        <w:gridCol w:w="170"/>
        <w:gridCol w:w="62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Net income increased to $7.8 million from $3.2 million in Q2 2025</w:t>
            </w:r>
          </w:p>
        </w:tc>
      </w:tr>
    </w:tbl>
    <w:tbl>
      <w:tblPr>
        <w:tblW w:w="7218" w:type="dxa"/>
        <w:jc w:val="left"/>
        <w:tblInd w:w="0" w:type="dxa"/>
        <w:tblLayout w:type="fixed"/>
        <w:tblCellMar>
          <w:top w:w="0" w:type="dxa"/>
          <w:left w:w="0" w:type="dxa"/>
          <w:bottom w:w="0" w:type="dxa"/>
          <w:right w:w="0" w:type="dxa"/>
        </w:tblCellMar>
      </w:tblPr>
      <w:tblGrid>
        <w:gridCol w:w="23"/>
        <w:gridCol w:w="170"/>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EBITDA increased to $11.4 million from $7.7 million in Q2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Entered into an exclusive U.S. distribution agreement with ElastiMed, Inc. to distribute the MyoSleeve™ Wearable Compression Device to Veterans and active-duty service members and their dependents</w:t>
            </w:r>
          </w:p>
        </w:tc>
      </w:tr>
    </w:tbl>
    <w:tbl>
      <w:tblPr>
        <w:tblW w:w="8823" w:type="dxa"/>
        <w:jc w:val="left"/>
        <w:tblInd w:w="0" w:type="dxa"/>
        <w:tblLayout w:type="fixed"/>
        <w:tblCellMar>
          <w:top w:w="0" w:type="dxa"/>
          <w:left w:w="0" w:type="dxa"/>
          <w:bottom w:w="0" w:type="dxa"/>
          <w:right w:w="0" w:type="dxa"/>
        </w:tblCellMar>
      </w:tblPr>
      <w:tblGrid>
        <w:gridCol w:w="23"/>
        <w:gridCol w:w="170"/>
        <w:gridCol w:w="8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Commercially launched the next-generation AffloVest Airway Clearance Therapy system</w:t>
            </w:r>
          </w:p>
        </w:tc>
      </w:tr>
    </w:tbl>
    <w:tbl>
      <w:tblPr>
        <w:tblW w:w="8313" w:type="dxa"/>
        <w:jc w:val="left"/>
        <w:tblInd w:w="0" w:type="dxa"/>
        <w:tblLayout w:type="fixed"/>
        <w:tblCellMar>
          <w:top w:w="0" w:type="dxa"/>
          <w:left w:w="0" w:type="dxa"/>
          <w:bottom w:w="0" w:type="dxa"/>
          <w:right w:w="0" w:type="dxa"/>
        </w:tblCellMar>
      </w:tblPr>
      <w:tblGrid>
        <w:gridCol w:w="23"/>
        <w:gridCol w:w="170"/>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Repurchased $5.3 million of stock under the Company’s share repurchase program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Publication of six-month clinical results from the Company's randomized controlled trial evaluating Flexitouch® Plus for the treatment of head and neck cancer-related lymphedema</w:t>
            </w:r>
          </w:p>
        </w:tc>
      </w:tr>
    </w:tbl>
    <w:p>
      <w:pPr>
        <w:pStyle w:val="TextBody"/>
        <w:bidi w:val="0"/>
        <w:spacing w:lineRule="auto" w:line="328" w:before="0" w:after="200"/>
        <w:ind w:left="360" w:right="0" w:hanging="0"/>
        <w:jc w:val="both"/>
        <w:rPr/>
      </w:pPr>
      <w:r>
        <w:rPr/>
        <w:t>​</w:t>
      </w:r>
    </w:p>
    <w:p>
      <w:pPr>
        <w:pStyle w:val="TextBody"/>
        <w:bidi w:val="0"/>
        <w:spacing w:lineRule="auto" w:line="328" w:before="0" w:after="0"/>
        <w:ind w:left="0" w:right="0" w:hanging="0"/>
        <w:jc w:val="both"/>
        <w:rPr/>
      </w:pPr>
      <w:r>
        <w:rPr/>
        <w:t>“</w:t>
      </w:r>
      <w:r>
        <w:rPr>
          <w:rFonts w:ascii="Arial;Helvetica;sans-serif" w:hAnsi="Arial;Helvetica;sans-serif"/>
          <w:sz w:val="22"/>
        </w:rPr>
        <w:t>We are encouraged by our strong momentum in the second quarter. We delivered solid revenue growth, expanded gross margin, and generated meaningful adjusted EBITDA, underscoring the strength of our business model and our team’s disciplined execution,” said Sheri Dodd, Chief Executive Officer of Tactile Medical. “Our core lymphedema business remains healthy and our view of the long-term opportunity for AffloVest to be a leading high frequency chest wall oscillation technology therapy is unchanged despite the impact of a temporary inventory management dynamic related to the launch of our next-generation AffloVest system during the quarter.”</w:t>
      </w:r>
    </w:p>
    <w:p>
      <w:pPr>
        <w:pStyle w:val="TextBody"/>
        <w:bidi w:val="0"/>
        <w:spacing w:lineRule="auto" w:line="328" w:before="0" w:after="200"/>
        <w:ind w:left="0" w:right="0" w:hanging="0"/>
        <w:jc w:val="both"/>
        <w:rPr/>
      </w:pPr>
      <w:r>
        <w:rPr/>
        <w:t>​</w:t>
      </w:r>
    </w:p>
    <w:p>
      <w:pPr>
        <w:pStyle w:val="TextBody"/>
        <w:bidi w:val="0"/>
        <w:spacing w:lineRule="auto" w:line="328" w:before="0" w:after="0"/>
        <w:ind w:left="0" w:right="0" w:hanging="0"/>
        <w:jc w:val="both"/>
        <w:rPr>
          <w:rFonts w:ascii="Arial;Helvetica;sans-serif" w:hAnsi="Arial;Helvetica;sans-serif"/>
          <w:sz w:val="22"/>
        </w:rPr>
      </w:pPr>
      <w:r>
        <w:rPr>
          <w:rFonts w:ascii="Arial;Helvetica;sans-serif" w:hAnsi="Arial;Helvetica;sans-serif"/>
          <w:sz w:val="22"/>
        </w:rPr>
        <w:t>Ms. Dodd continued, “Operationally, we made tangible progress furthering our broader strategy. We advanced integration activities for LymphaTech, which expands our portfolio across the lymphedema care continuum, launched our next-generation AffloVest system, and secured exclusive Department of Veterans Affairs and Department of Defense distribution rights for MyoSleeve. These product and capability investments strengthen and broaden our patient reach and market expansion, enabling diagnostic and therapy options for patients and providers.  With a clear growth and leverage strategy and a differentiated portfolio, we believe Tactile Medical is well-positioned for sustainable, profitable growth in the years ahead.”</w:t>
      </w:r>
    </w:p>
    <w:p>
      <w:pPr>
        <w:pStyle w:val="TextBody"/>
        <w:bidi w:val="0"/>
        <w:spacing w:lineRule="auto" w:line="328" w:before="0" w:after="200"/>
        <w:ind w:left="720" w:right="0" w:hanging="0"/>
        <w:jc w:val="both"/>
        <w:rPr/>
      </w:pPr>
      <w:r>
        <w:rPr/>
        <w:t>​</w:t>
      </w:r>
    </w:p>
    <w:p>
      <w:pPr>
        <w:pStyle w:val="TextBody"/>
        <w:bidi w:val="0"/>
        <w:spacing w:lineRule="auto" w:line="328" w:before="0" w:after="200"/>
        <w:ind w:left="0" w:right="0" w:hanging="0"/>
        <w:jc w:val="both"/>
        <w:rPr>
          <w:rFonts w:ascii="Arial;Helvetica;sans-serif" w:hAnsi="Arial;Helvetica;sans-serif"/>
          <w:b/>
          <w:sz w:val="22"/>
        </w:rPr>
      </w:pPr>
      <w:r>
        <w:rPr>
          <w:rFonts w:ascii="Arial;Helvetica;sans-serif" w:hAnsi="Arial;Helvetica;sans-serif"/>
          <w:b/>
          <w:sz w:val="22"/>
        </w:rPr>
        <w:t>Second Quarter 2026 Financial Results</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 xml:space="preserve">Total revenue in the second quarter of 2026 increased $6.8 million, or 9%, to $85.7 million, compared to $78.9 million in the second quarter of 2025. The increase in total revenue was attributable to an increase of $7.7 million, or 12%, in sales and rentals of the lymphedema product line, partially offset by a decrease of $0.9 million, or 7%, in sales of the airway clearance product line, due to temporary inventory management dynamics associated with the launch of the Company’s next-generation AffloVest system among a few large DME providers during the quarter. </w:t>
      </w:r>
    </w:p>
    <w:p>
      <w:pPr>
        <w:pStyle w:val="HorizontalLine"/>
        <w:pBdr>
          <w:bottom w:val="double" w:sz="2" w:space="0" w:color="808080"/>
        </w:pBdr>
        <w:bidi w:val="0"/>
        <w:spacing w:before="0" w:after="283"/>
        <w:jc w:val="left"/>
        <w:rPr/>
      </w:pPr>
      <w:r>
        <w:rPr/>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 xml:space="preserve">Gross profit in the second quarter of 2026 increased $6.6 million, or 11%, to $65.3 million, compared to $58.8 million in the second quarter of 2025. Gross margin was 76% of revenue, compared to 75% of revenue in the second quarter of 2025. Gross margin improvement reflected continued operating execution and product cost discipline. </w:t>
      </w:r>
    </w:p>
    <w:p>
      <w:pPr>
        <w:pStyle w:val="TextBody"/>
        <w:bidi w:val="0"/>
        <w:spacing w:lineRule="auto" w:line="285" w:before="280" w:after="0"/>
        <w:ind w:left="0" w:right="0" w:hanging="0"/>
        <w:jc w:val="both"/>
        <w:rPr>
          <w:rFonts w:ascii="Times New Roman;Times;serif" w:hAnsi="Times New Roman;Times;serif"/>
          <w:sz w:val="22"/>
        </w:rPr>
      </w:pPr>
      <w:r>
        <w:rPr>
          <w:rFonts w:ascii="Arial;Helvetica;sans-serif" w:hAnsi="Arial;Helvetica;sans-serif"/>
          <w:sz w:val="22"/>
        </w:rPr>
        <w:t>Operating expenses in the second quarter of 2026 increased $3.8 million, or 7%, to $58.5 million, compared to $54.7 million in the second quarter of 2025.</w:t>
      </w:r>
      <w:r>
        <w:rPr>
          <w:rFonts w:ascii="Times New Roman;Times;serif" w:hAnsi="Times New Roman;Times;serif"/>
          <w:sz w:val="22"/>
        </w:rPr>
        <w:t xml:space="preserve"> </w:t>
      </w:r>
      <w:r>
        <w:rPr>
          <w:rFonts w:ascii="Arial;Helvetica;sans-serif" w:hAnsi="Arial;Helvetica;sans-serif"/>
          <w:sz w:val="22"/>
        </w:rPr>
        <w:t>The increase primarily reflected continued investments to support long-term growth initiatives.</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 xml:space="preserve">Operating income was $6.8 million in the second quarter of 2026, compared to $4.1 million in the second quarter of 2025. </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 xml:space="preserve">Income tax benefit was $0.4 million in the second quarter of 2026, compared to an income tax expense of $1.3 million in the second quarter of 2025. </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 xml:space="preserve">Net income in the second quarter of 2026 was $7.8 million, or $0.34 per diluted share, compared to $3.2 million, or $0.14 per diluted share, in the second quarter of 2025. </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Weighted average shares used to compute diluted net income per share were 23.1 million and 23.2 million for the second quarters of 2026 and 2025, respectively.</w:t>
      </w:r>
    </w:p>
    <w:p>
      <w:pPr>
        <w:pStyle w:val="TextBody"/>
        <w:bidi w:val="0"/>
        <w:spacing w:lineRule="auto" w:line="328" w:before="280" w:after="200"/>
        <w:ind w:left="0" w:right="0" w:hanging="0"/>
        <w:jc w:val="both"/>
        <w:rPr>
          <w:rFonts w:ascii="Times New Roman;Times;serif" w:hAnsi="Times New Roman;Times;serif"/>
          <w:sz w:val="22"/>
        </w:rPr>
      </w:pPr>
      <w:r>
        <w:rPr>
          <w:rFonts w:ascii="Arial;Helvetica;sans-serif" w:hAnsi="Arial;Helvetica;sans-serif"/>
          <w:sz w:val="22"/>
        </w:rPr>
        <w:t>Adjusted EBITDA was $11.4 million in the second quarter of 2026, compared to $7.7 million in the second quarter of 2025, reflecting revenue growth, gross margin expansion and disciplined expense management</w:t>
      </w:r>
      <w:r>
        <w:rPr>
          <w:rFonts w:ascii="Arial;Helvetica;sans-serif" w:hAnsi="Arial;Helvetica;sans-serif"/>
          <w:sz w:val="24"/>
        </w:rPr>
        <w:t>.</w:t>
      </w:r>
    </w:p>
    <w:p>
      <w:pPr>
        <w:pStyle w:val="TextBody"/>
        <w:bidi w:val="0"/>
        <w:spacing w:lineRule="auto" w:line="328" w:before="0" w:after="200"/>
        <w:ind w:left="0" w:right="0" w:hanging="0"/>
        <w:jc w:val="both"/>
        <w:rPr>
          <w:rFonts w:ascii="Arial;Helvetica;sans-serif" w:hAnsi="Arial;Helvetica;sans-serif"/>
          <w:b/>
          <w:sz w:val="22"/>
        </w:rPr>
      </w:pPr>
      <w:r>
        <w:rPr>
          <w:rFonts w:ascii="Arial;Helvetica;sans-serif" w:hAnsi="Arial;Helvetica;sans-serif"/>
          <w:b/>
          <w:sz w:val="22"/>
        </w:rPr>
        <w:t>First Six Months 2026 Financial Results</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Total revenue for the six months ended June 30, 2026, increased $20.8 million, or 15%, to $161.0 million, compared to $140.2 million for the six months ended June 30, 2025. The increase in total revenue was attributable to an increase of $19.3 million, or 17%, in sales and rentals of the lymphedema product line and an increase of $1.5 million, or 6%, in sales of the airway clearance product line for the six months ended June 30, 2026, compared to the six months ended June 30, 2025.</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Net income for the six months ended June 30, 2026, was $6.0 million, or $0.26 per diluted share, compared to $0.2 million, or $0.01 per diluted share, for the six months ended June 30, 2025.</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Weighted average shares used to compute diluted net income per share were 23.1 million and 23.7 million for the six months ended June 30, 2026 and 2025, respectively.</w:t>
      </w:r>
    </w:p>
    <w:p>
      <w:pPr>
        <w:pStyle w:val="TextBody"/>
        <w:bidi w:val="0"/>
        <w:spacing w:lineRule="auto" w:line="285" w:before="280" w:after="0"/>
        <w:ind w:left="0" w:right="0" w:hanging="0"/>
        <w:jc w:val="both"/>
        <w:rPr>
          <w:rFonts w:ascii="Arial;Helvetica;sans-serif" w:hAnsi="Arial;Helvetica;sans-serif"/>
          <w:sz w:val="22"/>
        </w:rPr>
      </w:pPr>
      <w:r>
        <w:rPr>
          <w:rFonts w:ascii="Arial;Helvetica;sans-serif" w:hAnsi="Arial;Helvetica;sans-serif"/>
          <w:sz w:val="22"/>
        </w:rPr>
        <w:t>Adjusted EBITDA was $15.1 million in the six months ended June 30, 2026, compared to $7.4 million in the six months ended June 30, 2025.</w:t>
      </w:r>
    </w:p>
    <w:p>
      <w:pPr>
        <w:pStyle w:val="TextBody"/>
        <w:bidi w:val="0"/>
        <w:spacing w:lineRule="auto" w:line="328" w:before="280" w:after="200"/>
        <w:ind w:left="0" w:right="0" w:hanging="0"/>
        <w:jc w:val="left"/>
        <w:rPr>
          <w:rFonts w:ascii="Times New Roman;Times;serif" w:hAnsi="Times New Roman;Times;serif"/>
          <w:sz w:val="22"/>
        </w:rPr>
      </w:pPr>
      <w:r>
        <w:rPr>
          <w:rFonts w:ascii="Arial;Helvetica;sans-serif" w:hAnsi="Arial;Helvetica;sans-serif"/>
          <w:b/>
          <w:sz w:val="22"/>
        </w:rPr>
        <w:t>Balance Sheet Summary</w:t>
      </w:r>
      <w:r>
        <w:rPr>
          <w:rFonts w:ascii="Times New Roman;Times;serif" w:hAnsi="Times New Roman;Times;serif"/>
          <w:sz w:val="22"/>
        </w:rPr>
        <w:t xml:space="preserve"> </w:t>
      </w:r>
    </w:p>
    <w:p>
      <w:pPr>
        <w:pStyle w:val="TextBody"/>
        <w:bidi w:val="0"/>
        <w:spacing w:lineRule="auto" w:line="328" w:before="0" w:after="200"/>
        <w:ind w:left="0" w:right="0" w:hanging="0"/>
        <w:jc w:val="both"/>
        <w:rPr>
          <w:rFonts w:ascii="Times New Roman;Times;serif" w:hAnsi="Times New Roman;Times;serif"/>
          <w:sz w:val="22"/>
        </w:rPr>
      </w:pPr>
      <w:r>
        <w:rPr>
          <w:rFonts w:ascii="Arial;Helvetica;sans-serif" w:hAnsi="Arial;Helvetica;sans-serif"/>
          <w:sz w:val="22"/>
        </w:rPr>
        <w:t>As of June 30, 2026, the Company had $69.9 million in cash and no outstanding borrowings under its credit agreement, compared to $83.4 million in cash and no outstanding borrowings under its credit agreement as of December 31, 2025.</w:t>
      </w:r>
      <w:r>
        <w:rPr>
          <w:rFonts w:ascii="Times New Roman;Times;serif" w:hAnsi="Times New Roman;Times;serif"/>
          <w:sz w:val="22"/>
        </w:rPr>
        <w:t xml:space="preserve"> </w:t>
      </w:r>
      <w:r>
        <w:rPr>
          <w:rFonts w:ascii="Arial;Helvetica;sans-serif" w:hAnsi="Arial;Helvetica;sans-serif"/>
          <w:sz w:val="22"/>
        </w:rPr>
        <w:t>The Company repurchased $5.3 million of its stock during the second quarter under its repurchase program. As of June 30, 2026, $18.7 million remained available under the Company’s $25.0 million share repurchase program, which expires November 3, 2027.</w: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left"/>
        <w:rPr>
          <w:rFonts w:ascii="Arial;Helvetica;sans-serif" w:hAnsi="Arial;Helvetica;sans-serif"/>
          <w:b/>
          <w:sz w:val="22"/>
        </w:rPr>
      </w:pPr>
      <w:r>
        <w:rPr>
          <w:rFonts w:ascii="Arial;Helvetica;sans-serif" w:hAnsi="Arial;Helvetica;sans-serif"/>
          <w:b/>
          <w:sz w:val="22"/>
        </w:rPr>
        <w:t>2026 Financial Outlook</w:t>
      </w:r>
    </w:p>
    <w:p>
      <w:pPr>
        <w:pStyle w:val="TextBody"/>
        <w:bidi w:val="0"/>
        <w:spacing w:lineRule="auto" w:line="328" w:before="0" w:after="200"/>
        <w:ind w:left="0" w:right="0" w:hanging="0"/>
        <w:jc w:val="both"/>
        <w:rPr>
          <w:rFonts w:ascii="Arial;Helvetica;sans-serif" w:hAnsi="Arial;Helvetica;sans-serif"/>
          <w:sz w:val="22"/>
        </w:rPr>
      </w:pPr>
      <w:r>
        <w:rPr>
          <w:rFonts w:ascii="Arial;Helvetica;sans-serif" w:hAnsi="Arial;Helvetica;sans-serif"/>
          <w:sz w:val="22"/>
        </w:rPr>
        <w:t>The Company is updating its 2026 financial outlook and now expects full year 2026 total revenue in the range of $360 million to $366 million, representing growth of approximately 9% to 11% year-over-year, compared to total revenue of $329.5 million in 2025. The Company’s prior 2026 guidance expectation was total revenue in the range of $360 million to $368 million, representing growth of approximately 9% to 12% year-over-year.</w:t>
      </w:r>
    </w:p>
    <w:p>
      <w:pPr>
        <w:pStyle w:val="TextBody"/>
        <w:bidi w:val="0"/>
        <w:spacing w:lineRule="auto" w:line="328" w:before="0" w:after="200"/>
        <w:ind w:left="0" w:right="0" w:hanging="0"/>
        <w:jc w:val="both"/>
        <w:rPr>
          <w:rFonts w:ascii="Arial;Helvetica;sans-serif" w:hAnsi="Arial;Helvetica;sans-serif"/>
          <w:sz w:val="22"/>
        </w:rPr>
      </w:pPr>
      <w:r>
        <w:rPr>
          <w:rFonts w:ascii="Arial;Helvetica;sans-serif" w:hAnsi="Arial;Helvetica;sans-serif"/>
          <w:sz w:val="22"/>
        </w:rPr>
        <w:t>The Company continues to expect full year 2026 adjusted EBITDA in the range of $49 million to $51 million, compared to adjusted EBITDA of $44.8 million in 2025.</w:t>
      </w:r>
    </w:p>
    <w:p>
      <w:pPr>
        <w:pStyle w:val="TextBody"/>
        <w:bidi w:val="0"/>
        <w:spacing w:lineRule="auto" w:line="328" w:before="0" w:after="200"/>
        <w:ind w:left="0" w:right="0" w:hanging="0"/>
        <w:jc w:val="both"/>
        <w:rPr>
          <w:rFonts w:ascii="Arial;Helvetica;sans-serif" w:hAnsi="Arial;Helvetica;sans-serif"/>
          <w:sz w:val="22"/>
        </w:rPr>
      </w:pPr>
      <w:r>
        <w:rPr>
          <w:rFonts w:ascii="Arial;Helvetica;sans-serif" w:hAnsi="Arial;Helvetica;sans-serif"/>
          <w:sz w:val="22"/>
        </w:rPr>
        <w:t>The revised revenue outlook reflects continued confidence in the Company's lymphedema product line, partially offset by a more conservative view of airway clearance product line ordering patterns as certain DME providers work through near-term elevated inventory levels related to the launch of the Company’s next-generation AffloVest system.</w:t>
      </w:r>
    </w:p>
    <w:p>
      <w:pPr>
        <w:pStyle w:val="TextBody"/>
        <w:bidi w:val="0"/>
        <w:spacing w:lineRule="auto" w:line="328" w:before="0" w:after="200"/>
        <w:ind w:left="0" w:right="0" w:hanging="0"/>
        <w:jc w:val="both"/>
        <w:rPr>
          <w:rFonts w:ascii="Arial;Helvetica;sans-serif" w:hAnsi="Arial;Helvetica;sans-serif"/>
          <w:b/>
          <w:sz w:val="22"/>
        </w:rPr>
      </w:pPr>
      <w:r>
        <w:rPr>
          <w:rFonts w:ascii="Arial;Helvetica;sans-serif" w:hAnsi="Arial;Helvetica;sans-serif"/>
          <w:b/>
          <w:sz w:val="22"/>
        </w:rPr>
        <w:t>Conference Call</w:t>
      </w:r>
    </w:p>
    <w:p>
      <w:pPr>
        <w:pStyle w:val="TextBody"/>
        <w:bidi w:val="0"/>
        <w:spacing w:lineRule="auto" w:line="328" w:before="0" w:after="200"/>
        <w:ind w:left="0" w:right="0" w:hanging="0"/>
        <w:jc w:val="both"/>
        <w:rPr>
          <w:rFonts w:ascii="Arial;Helvetica;sans-serif" w:hAnsi="Arial;Helvetica;sans-serif"/>
          <w:spacing w:val="-1"/>
          <w:sz w:val="22"/>
        </w:rPr>
      </w:pPr>
      <w:r>
        <w:rPr>
          <w:rFonts w:ascii="Arial;Helvetica;sans-serif" w:hAnsi="Arial;Helvetica;sans-serif"/>
          <w:spacing w:val="-1"/>
          <w:sz w:val="22"/>
        </w:rPr>
        <w:t>Management will host a conference call with a question-and-answer session at 5:00 p.m. Eastern Time on August 10, 2026, to discuss the results of the quarter. Those who would like to participate may dial 877-407-3088 (201-389-0927 for international callers) and provide access code 13761142. A live webcast of the call will also be provided on the investor relations section of the Company's website at investors.tactilemedical.com.</w:t>
      </w:r>
    </w:p>
    <w:p>
      <w:pPr>
        <w:pStyle w:val="TextBody"/>
        <w:bidi w:val="0"/>
        <w:spacing w:lineRule="auto" w:line="328" w:before="0" w:after="200"/>
        <w:ind w:left="0" w:right="0" w:hanging="0"/>
        <w:jc w:val="both"/>
        <w:rPr>
          <w:rFonts w:ascii="Times New Roman;Times;serif" w:hAnsi="Times New Roman;Times;serif"/>
          <w:sz w:val="22"/>
        </w:rPr>
      </w:pPr>
      <w:r>
        <w:rPr>
          <w:rFonts w:ascii="Arial;Helvetica;sans-serif" w:hAnsi="Arial;Helvetica;sans-serif"/>
          <w:spacing w:val="-1"/>
          <w:sz w:val="22"/>
        </w:rPr>
        <w:t>For those unable to participate, a replay of the call will be available for two weeks at 877-660-6853 (201-612-7415 for international callers); access code 13761142. The webcast will be archived at investors.tactilemedical.com</w:t>
      </w:r>
      <w:r>
        <w:rPr>
          <w:rFonts w:ascii="Arial;Helvetica;sans-serif" w:hAnsi="Arial;Helvetica;sans-serif"/>
          <w:sz w:val="22"/>
        </w:rPr>
        <w:t>.</w:t>
      </w:r>
    </w:p>
    <w:p>
      <w:pPr>
        <w:pStyle w:val="TextBody"/>
        <w:bidi w:val="0"/>
        <w:spacing w:lineRule="auto" w:line="328" w:before="0" w:after="240"/>
        <w:ind w:left="0" w:right="0" w:hanging="0"/>
        <w:jc w:val="left"/>
        <w:rPr>
          <w:rFonts w:ascii="Arial;Helvetica;sans-serif" w:hAnsi="Arial;Helvetica;sans-serif"/>
          <w:b/>
          <w:sz w:val="22"/>
        </w:rPr>
      </w:pPr>
      <w:r>
        <w:rPr>
          <w:rFonts w:ascii="Arial;Helvetica;sans-serif" w:hAnsi="Arial;Helvetica;sans-serif"/>
          <w:b/>
          <w:sz w:val="22"/>
        </w:rPr>
        <w:t>About Tactile Systems Technology, Inc. (DBA Tactile Medical)</w:t>
      </w:r>
    </w:p>
    <w:p>
      <w:pPr>
        <w:pStyle w:val="TextBody"/>
        <w:bidi w:val="0"/>
        <w:spacing w:lineRule="auto" w:line="328" w:before="0" w:after="200"/>
        <w:ind w:left="0" w:right="0" w:hanging="0"/>
        <w:jc w:val="both"/>
        <w:rPr>
          <w:rFonts w:ascii="Arial;Helvetica;sans-serif" w:hAnsi="Arial;Helvetica;sans-serif"/>
          <w:sz w:val="22"/>
        </w:rPr>
      </w:pPr>
      <w:r>
        <w:rPr>
          <w:rFonts w:ascii="Arial;Helvetica;sans-serif" w:hAnsi="Arial;Helvetica;sans-serif"/>
          <w:sz w:val="22"/>
        </w:rPr>
        <w:t>Tactile Medical is a leader in developing and marketing at-home therapies for people suffering from underserved, chronic conditions including lymphedema, lipedema, chronic venous insufficiency and chronic respiratory conditions by helping them live better and care for themselves at home. Tactile Medical collaborates with clinicians to expand clinical evidence, raise awareness, increase access to care, reduce overall healthcare costs and improve the quality of life for tens of thousands of patients each year.</w:t>
      </w:r>
    </w:p>
    <w:p>
      <w:pPr>
        <w:pStyle w:val="TextBody"/>
        <w:bidi w:val="0"/>
        <w:spacing w:lineRule="auto" w:line="328" w:before="0" w:after="240"/>
        <w:ind w:left="0" w:right="0" w:hanging="0"/>
        <w:jc w:val="left"/>
        <w:rPr>
          <w:rFonts w:ascii="Arial;Helvetica;sans-serif" w:hAnsi="Arial;Helvetica;sans-serif"/>
          <w:b/>
          <w:sz w:val="22"/>
        </w:rPr>
      </w:pPr>
      <w:r>
        <w:rPr>
          <w:rFonts w:ascii="Arial;Helvetica;sans-serif" w:hAnsi="Arial;Helvetica;sans-serif"/>
          <w:b/>
          <w:sz w:val="22"/>
        </w:rPr>
        <w:t>Legal Notice Regarding Forward-Looking Statements</w:t>
      </w:r>
    </w:p>
    <w:p>
      <w:pPr>
        <w:pStyle w:val="TextBody"/>
        <w:bidi w:val="0"/>
        <w:spacing w:lineRule="auto" w:line="328" w:before="0" w:after="0"/>
        <w:ind w:left="0" w:right="0" w:hanging="0"/>
        <w:jc w:val="both"/>
        <w:rPr>
          <w:rFonts w:ascii="Arial;Helvetica;sans-serif" w:hAnsi="Arial;Helvetica;sans-serif"/>
          <w:sz w:val="22"/>
        </w:rPr>
      </w:pPr>
      <w:r>
        <w:rPr>
          <w:rFonts w:ascii="Arial;Helvetica;sans-serif" w:hAnsi="Arial;Helvetica;sans-serif"/>
          <w:sz w:val="22"/>
        </w:rPr>
        <w:t xml:space="preserve">This release contains forward-looking statements, including guidance for the full year 2026. Forward-looking statements are generally identifiable by the use of words like “may,” “will,” “should,” “could,” “expect,” “anticipate,” “estimate,” “believe,” “intend,” “continue,” “confident,” “outlook,” “guidance,” “project,” “goals,” “look forward,” “poised,” “designed,” “plan,” “return,” “focused,” “prospects” or “remain” or the negative of these words or other variations on these words or comparable terminology. The reader is cautioned not to put undue reliance on these forward-looking statements, as these statements are subject to numerous factors and uncertainties outside of the Company’s control that can make such statements untrue, including, but not limited to, the Company’s ability to obtain reimbursement from third-party payers for its products; adverse economic conditions, including </w:t>
      </w:r>
    </w:p>
    <w:p>
      <w:pPr>
        <w:pStyle w:val="HorizontalLine"/>
        <w:pBdr>
          <w:bottom w:val="double" w:sz="2" w:space="0" w:color="808080"/>
        </w:pBdr>
        <w:bidi w:val="0"/>
        <w:spacing w:before="0" w:after="283"/>
        <w:jc w:val="left"/>
        <w:rPr/>
      </w:pPr>
      <w:r>
        <w:rPr/>
      </w:r>
    </w:p>
    <w:p>
      <w:pPr>
        <w:pStyle w:val="TextBody"/>
        <w:bidi w:val="0"/>
        <w:spacing w:lineRule="auto" w:line="328" w:before="0" w:after="240"/>
        <w:ind w:left="0" w:right="0" w:hanging="0"/>
        <w:jc w:val="both"/>
        <w:rPr>
          <w:rFonts w:ascii="Arial;Helvetica;sans-serif" w:hAnsi="Arial;Helvetica;sans-serif"/>
          <w:sz w:val="22"/>
        </w:rPr>
      </w:pPr>
      <w:r>
        <w:rPr>
          <w:rFonts w:ascii="Arial;Helvetica;sans-serif" w:hAnsi="Arial;Helvetica;sans-serif"/>
          <w:sz w:val="22"/>
        </w:rPr>
        <w:t>inflation, rising interest rates or a recession; the adequacy of the Company’s liquidity to pursue its business objectives; price increases for supplies and components; wage and component price inflation; loss of a key supplier or other supply chain disruptions; entry of new competitors and/or competitive products; compliance with and changes in federal, state and local government laws and regulations; technological obsolescence of, or quality issues with, the Company’s products; the Company’s ability to expand its business through strategic acquisitions; the Company’s ability to integrate acquisitions and related businesses; the effects of current and future U.S. and foreign trade policy and tariff actions; or the inability to carry out research, development and commercialization plans. In addition, other factors that could cause actual results to differ materially are discussed in the Company’s filings with the SEC. Investors and security holders are urged to read these documents free of charge on the SEC’s website at http://www.sec.gov. The Company undertakes no obligation to publicly update or revise its forward-looking statements as a result of new information, future events or otherwise.</w:t>
      </w:r>
    </w:p>
    <w:p>
      <w:pPr>
        <w:pStyle w:val="TextBody"/>
        <w:bidi w:val="0"/>
        <w:spacing w:lineRule="auto" w:line="328" w:before="0" w:after="240"/>
        <w:ind w:left="0" w:right="0" w:hanging="0"/>
        <w:jc w:val="left"/>
        <w:rPr>
          <w:rFonts w:ascii="Arial;Helvetica;sans-serif" w:hAnsi="Arial;Helvetica;sans-serif"/>
          <w:b/>
          <w:sz w:val="22"/>
        </w:rPr>
      </w:pPr>
      <w:r>
        <w:rPr>
          <w:rFonts w:ascii="Arial;Helvetica;sans-serif" w:hAnsi="Arial;Helvetica;sans-serif"/>
          <w:b/>
          <w:sz w:val="22"/>
        </w:rPr>
        <w:t>Use of Non-GAAP Financial Measures</w:t>
      </w:r>
    </w:p>
    <w:p>
      <w:pPr>
        <w:pStyle w:val="TextBody"/>
        <w:bidi w:val="0"/>
        <w:spacing w:lineRule="auto" w:line="328" w:before="0" w:after="240"/>
        <w:ind w:left="0" w:right="0" w:hanging="0"/>
        <w:jc w:val="both"/>
        <w:rPr>
          <w:rFonts w:ascii="Arial;Helvetica;sans-serif" w:hAnsi="Arial;Helvetica;sans-serif"/>
          <w:sz w:val="22"/>
        </w:rPr>
      </w:pPr>
      <w:bookmarkStart w:id="31" w:name="_Hlk172806158"/>
      <w:bookmarkEnd w:id="31"/>
      <w:r>
        <w:rPr>
          <w:rFonts w:ascii="Arial;Helvetica;sans-serif" w:hAnsi="Arial;Helvetica;sans-serif"/>
          <w:sz w:val="22"/>
        </w:rPr>
        <w:t>This press release includes the non-GAAP financial measure of Adjusted EBITDA, which differs from financial measures calculated in accordance with U.S. generally accepted accounting principles (“GAAP”). Adjusted EBITDA in this release represents net income, plus interest expense, net, or less interest income, net, less income tax benefit or plus income tax expense, plus depreciation and amortization, plus stock-based compensation expense, plus litigation-related costs, plus executive transition costs, and plus acquisition and integration costs. Reconciliation of this non-GAAP financial measure to its most directly comparable GAAP measure is included in this press release.</w:t>
      </w:r>
    </w:p>
    <w:p>
      <w:pPr>
        <w:pStyle w:val="TextBody"/>
        <w:bidi w:val="0"/>
        <w:spacing w:lineRule="auto" w:line="328" w:before="0" w:after="240"/>
        <w:ind w:left="0" w:right="0" w:hanging="0"/>
        <w:jc w:val="both"/>
        <w:rPr>
          <w:rFonts w:ascii="Arial;Helvetica;sans-serif" w:hAnsi="Arial;Helvetica;sans-serif"/>
          <w:sz w:val="22"/>
        </w:rPr>
      </w:pPr>
      <w:r>
        <w:rPr>
          <w:rFonts w:ascii="Arial;Helvetica;sans-serif" w:hAnsi="Arial;Helvetica;sans-serif"/>
          <w:sz w:val="22"/>
        </w:rPr>
        <w:t>This non-GAAP financial measure is presented because the Company believes it is a useful indicator of its operating performance. Management uses this measure principally as a measure of the Company’s operating performance and for planning purposes, including the preparation of the Company’s annual operating plan and financial projections. The Company believes this measure is useful to investors as supplemental information and because it is frequently used by analysts, investors and other interested parties to evaluate companies in its industry. The Company also believes this non-GAAP financial measure is useful to its management and investors as a measure of comparative operating performance from period to period. In addition, Adjusted EBITDA is used as a performance metric in the Company’s compensation program.</w:t>
      </w:r>
    </w:p>
    <w:p>
      <w:pPr>
        <w:pStyle w:val="TextBody"/>
        <w:bidi w:val="0"/>
        <w:spacing w:lineRule="auto" w:line="328" w:before="0" w:after="0"/>
        <w:ind w:left="0" w:right="0" w:hanging="0"/>
        <w:jc w:val="both"/>
        <w:rPr>
          <w:rFonts w:ascii="Arial;Helvetica;sans-serif" w:hAnsi="Arial;Helvetica;sans-serif"/>
          <w:sz w:val="22"/>
        </w:rPr>
      </w:pPr>
      <w:r>
        <w:rPr>
          <w:rFonts w:ascii="Arial;Helvetica;sans-serif" w:hAnsi="Arial;Helvetica;sans-serif"/>
          <w:sz w:val="22"/>
        </w:rPr>
        <w:t xml:space="preserve">The non-GAAP financial measure presented in this release should not be considered as an alternative to, or superior to, its respective GAAP financial measure, as a measure of financial performance or cash flows from operations as a measure of liquidity, or any other performance measure derived in accordance with GAAP, and it should not be construed to imply that the Company’s future results will be unaffected by unusual or non-recurring items. In addition, Adjusted EBITDA is not intended to be a measure of free cash flow for management’s discretionary use, as it does not reflect certain cash requirements such as tax payments, debt service requirements, capital expenditures and certain other cash costs that may recur in the future. Adjusted EBITDA contains certain other limitations, including the failure to reflect our cash expenditures, cash requirements for working capital needs and cash costs to replace assets being depreciated and amortized. In evaluating non-GAAP financial measures, you should be aware that in the future the Company may incur expenses that are the same as or similar to some of the adjustments in this presentation. The Company’s presentation of </w:t>
      </w:r>
    </w:p>
    <w:p>
      <w:pPr>
        <w:pStyle w:val="HorizontalLine"/>
        <w:pBdr>
          <w:bottom w:val="double" w:sz="2" w:space="0" w:color="808080"/>
        </w:pBdr>
        <w:bidi w:val="0"/>
        <w:spacing w:before="0" w:after="283"/>
        <w:jc w:val="left"/>
        <w:rPr/>
      </w:pPr>
      <w:r>
        <w:rPr/>
      </w:r>
    </w:p>
    <w:p>
      <w:pPr>
        <w:pStyle w:val="TextBody"/>
        <w:bidi w:val="0"/>
        <w:spacing w:lineRule="auto" w:line="328" w:before="0" w:after="240"/>
        <w:ind w:left="0" w:right="0" w:hanging="0"/>
        <w:jc w:val="both"/>
        <w:rPr>
          <w:rFonts w:ascii="Arial;Helvetica;sans-serif" w:hAnsi="Arial;Helvetica;sans-serif"/>
          <w:sz w:val="22"/>
        </w:rPr>
      </w:pPr>
      <w:r>
        <w:rPr>
          <w:rFonts w:ascii="Arial;Helvetica;sans-serif" w:hAnsi="Arial;Helvetica;sans-serif"/>
          <w:sz w:val="22"/>
        </w:rPr>
        <w:t>non-GAAP financial measures should not be construed to imply that its future results will be unaffected by any such adjustments. Management compensates for these limitations by primarily relying on the Company’s GAAP results in addition to using non-GAAP financial measures on a supplemental basis. The Company’s definition of these non-GAAP financial measures is not necessarily comparable to other similarly titled captions of other companies due to different methods of calculation.</w:t>
      </w:r>
    </w:p>
    <w:p>
      <w:pPr>
        <w:pStyle w:val="TextBody"/>
        <w:pBdr/>
        <w:bidi w:val="0"/>
        <w:spacing w:lineRule="auto" w:line="285" w:before="280" w:after="0"/>
        <w:ind w:left="0" w:right="0" w:hanging="0"/>
        <w:jc w:val="both"/>
        <w:rPr>
          <w:rFonts w:ascii="Arial;Helvetica;sans-serif" w:hAnsi="Arial;Helvetica;sans-serif"/>
          <w:b/>
          <w:sz w:val="20"/>
        </w:rPr>
      </w:pPr>
      <w:r>
        <w:rPr>
          <w:rFonts w:ascii="Arial;Helvetica;sans-serif" w:hAnsi="Arial;Helvetica;sans-serif"/>
          <w:b/>
          <w:sz w:val="20"/>
        </w:rPr>
        <w:t>Investor Inquiries:</w:t>
      </w:r>
    </w:p>
    <w:p>
      <w:pPr>
        <w:pStyle w:val="TextBody"/>
        <w:shd w:fill="FFFFFF" w:val="clea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Sam Bentzinger</w:t>
      </w:r>
    </w:p>
    <w:p>
      <w:pPr>
        <w:pStyle w:val="TextBody"/>
        <w:shd w:fill="FFFFFF" w:val="clea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Gilmartin Group</w:t>
      </w:r>
    </w:p>
    <w:p>
      <w:pPr>
        <w:pStyle w:val="TextBody"/>
        <w:pBdr/>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investorrelations@tactilemedical.com</w:t>
      </w:r>
    </w:p>
    <w:p>
      <w:pPr>
        <w:pStyle w:val="HorizontalLine"/>
        <w:pBdr>
          <w:bottom w:val="double" w:sz="2" w:space="0" w:color="808080"/>
        </w:pBdr>
        <w:bidi w:val="0"/>
        <w:spacing w:before="0" w:after="283"/>
        <w:jc w:val="left"/>
        <w:rPr/>
      </w:pPr>
      <w:r>
        <w:rPr/>
      </w:r>
    </w:p>
    <w:p>
      <w:pPr>
        <w:pStyle w:val="TextBody"/>
        <w:shd w:fill="FFFFFF" w:val="clear"/>
        <w:bidi w:val="0"/>
        <w:spacing w:lineRule="auto" w:line="328"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39"/>
        <w:gridCol w:w="346"/>
        <w:gridCol w:w="196"/>
        <w:gridCol w:w="691"/>
        <w:gridCol w:w="346"/>
        <w:gridCol w:w="217"/>
        <w:gridCol w:w="870"/>
      </w:tblGrid>
      <w:tr>
        <w:trPr/>
        <w:tc>
          <w:tcPr>
            <w:tcW w:w="7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787265" cy="175260"/>
                      <wp:effectExtent l="0" t="0" r="0" b="0"/>
                      <wp:wrapNone/>
                      <wp:docPr id="6" name="Frame6"/>
                      <a:graphic xmlns:a="http://schemas.openxmlformats.org/drawingml/2006/main">
                        <a:graphicData uri="http://schemas.microsoft.com/office/word/2010/wordprocessingShape">
                          <wps:wsp>
                            <wps:cNvSpPr txBox="1"/>
                            <wps:spPr>
                              <a:xfrm>
                                <a:off x="0" y="0"/>
                                <a:ext cx="478726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8785" cy="175260"/>
                      <wp:effectExtent l="0" t="0" r="0" b="0"/>
                      <wp:wrapNone/>
                      <wp:docPr id="9" name="Frame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7795" cy="175260"/>
                      <wp:effectExtent l="0" t="0" r="0" b="0"/>
                      <wp:wrapNone/>
                      <wp:docPr id="11" name="Frame1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52450" cy="175260"/>
                      <wp:effectExtent l="0" t="0" r="0" b="0"/>
                      <wp:wrapNone/>
                      <wp:docPr id="12" name="Frame12"/>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r>
      <w:tr>
        <w:trPr/>
        <w:tc>
          <w:tcPr>
            <w:tcW w:w="10205" w:type="dxa"/>
            <w:gridSpan w:val="7"/>
            <w:tcBorders/>
            <w:vAlign w:val="center"/>
          </w:tcPr>
          <w:p>
            <w:pPr>
              <w:pStyle w:val="TableContents"/>
              <w:bidi w:val="0"/>
              <w:spacing w:lineRule="auto" w:line="328" w:before="0" w:after="1"/>
              <w:ind w:left="0" w:right="0" w:hanging="0"/>
              <w:jc w:val="center"/>
              <w:rPr>
                <w:rFonts w:ascii="Arial;Helvetica;sans-serif" w:hAnsi="Arial;Helvetica;sans-serif"/>
                <w:b/>
                <w:sz w:val="17"/>
              </w:rPr>
            </w:pPr>
            <w:r>
              <w:rPr>
                <w:rFonts w:ascii="Arial;Helvetica;sans-serif" w:hAnsi="Arial;Helvetica;sans-serif"/>
                <w:b/>
                <w:sz w:val="17"/>
              </w:rPr>
              <w:t>Tactile Systems Technology, Inc.</w:t>
            </w:r>
          </w:p>
        </w:tc>
      </w:tr>
      <w:tr>
        <w:trPr/>
        <w:tc>
          <w:tcPr>
            <w:tcW w:w="10205" w:type="dxa"/>
            <w:gridSpan w:val="7"/>
            <w:tcBorders/>
            <w:vAlign w:val="center"/>
          </w:tcPr>
          <w:p>
            <w:pPr>
              <w:pStyle w:val="TableContents"/>
              <w:bidi w:val="0"/>
              <w:spacing w:lineRule="auto" w:line="328" w:before="0" w:after="1"/>
              <w:ind w:left="0" w:right="0" w:hanging="0"/>
              <w:jc w:val="center"/>
              <w:rPr>
                <w:rFonts w:ascii="Arial;Helvetica;sans-serif" w:hAnsi="Arial;Helvetica;sans-serif"/>
                <w:b/>
                <w:sz w:val="17"/>
              </w:rPr>
            </w:pPr>
            <w:r>
              <w:rPr>
                <w:rFonts w:ascii="Arial;Helvetica;sans-serif" w:hAnsi="Arial;Helvetica;sans-serif"/>
                <w:b/>
                <w:sz w:val="17"/>
              </w:rPr>
              <w:t>Condensed Consolidated Balance Sheets</w:t>
            </w:r>
          </w:p>
        </w:tc>
      </w:tr>
      <w:tr>
        <w:trPr/>
        <w:tc>
          <w:tcPr>
            <w:tcW w:w="10205" w:type="dxa"/>
            <w:gridSpan w:val="7"/>
            <w:tcBorders/>
            <w:vAlign w:val="center"/>
          </w:tcPr>
          <w:p>
            <w:pPr>
              <w:pStyle w:val="TableContents"/>
              <w:bidi w:val="0"/>
              <w:spacing w:lineRule="auto" w:line="328" w:before="0" w:after="1"/>
              <w:ind w:left="0" w:right="0" w:hanging="0"/>
              <w:jc w:val="center"/>
              <w:rPr>
                <w:rFonts w:ascii="Arial;Helvetica;sans-serif" w:hAnsi="Arial;Helvetica;sans-serif"/>
                <w:sz w:val="17"/>
              </w:rPr>
            </w:pPr>
            <w:r>
              <w:rPr>
                <w:rFonts w:ascii="Arial;Helvetica;sans-serif" w:hAnsi="Arial;Helvetica;sans-serif"/>
                <w:sz w:val="17"/>
              </w:rPr>
              <w:t>(Unaudited)</w:t>
            </w:r>
          </w:p>
        </w:tc>
      </w:tr>
      <w:tr>
        <w:trPr/>
        <w:tc>
          <w:tcPr>
            <w:tcW w:w="7539"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1"/>
              <w:ind w:left="0" w:right="0" w:hanging="0"/>
              <w:jc w:val="left"/>
              <w:rPr/>
            </w:pPr>
            <w:r>
              <w:rPr/>
              <w:t>  ​ ​ ​</w:t>
            </w:r>
          </w:p>
        </w:tc>
        <w:tc>
          <w:tcPr>
            <w:tcW w:w="887" w:type="dxa"/>
            <w:gridSpan w:val="2"/>
            <w:tcBorders/>
            <w:vAlign w:val="center"/>
          </w:tcPr>
          <w:p>
            <w:pPr>
              <w:pStyle w:val="TableContents"/>
              <w:bidi w:val="0"/>
              <w:spacing w:lineRule="auto" w:line="328" w:before="0" w:after="1"/>
              <w:ind w:left="0" w:right="0" w:hanging="0"/>
              <w:jc w:val="center"/>
              <w:rPr>
                <w:rFonts w:ascii="Arial;Helvetica;sans-serif" w:hAnsi="Arial;Helvetica;sans-serif"/>
                <w:b/>
                <w:sz w:val="17"/>
              </w:rPr>
            </w:pPr>
            <w:r>
              <w:rPr>
                <w:rFonts w:ascii="Arial;Helvetica;sans-serif" w:hAnsi="Arial;Helvetica;sans-serif"/>
                <w:b/>
                <w:sz w:val="17"/>
              </w:rPr>
              <w:t>June 30,</w:t>
            </w:r>
          </w:p>
        </w:tc>
        <w:tc>
          <w:tcPr>
            <w:tcW w:w="346" w:type="dxa"/>
            <w:tcBorders/>
            <w:vAlign w:val="center"/>
          </w:tcPr>
          <w:p>
            <w:pPr>
              <w:pStyle w:val="TableContents"/>
              <w:bidi w:val="0"/>
              <w:spacing w:lineRule="auto" w:line="328" w:before="0" w:after="1"/>
              <w:ind w:left="0" w:right="0" w:hanging="0"/>
              <w:jc w:val="left"/>
              <w:rPr/>
            </w:pPr>
            <w:r>
              <w:rPr/>
              <w:t>  ​ ​ ​</w:t>
            </w:r>
          </w:p>
        </w:tc>
        <w:tc>
          <w:tcPr>
            <w:tcW w:w="1087" w:type="dxa"/>
            <w:gridSpan w:val="2"/>
            <w:tcBorders/>
            <w:vAlign w:val="center"/>
          </w:tcPr>
          <w:p>
            <w:pPr>
              <w:pStyle w:val="TableContents"/>
              <w:bidi w:val="0"/>
              <w:spacing w:lineRule="auto" w:line="328" w:before="0" w:after="1"/>
              <w:ind w:left="0" w:right="0" w:hanging="0"/>
              <w:jc w:val="center"/>
              <w:rPr>
                <w:rFonts w:ascii="Arial;Helvetica;sans-serif" w:hAnsi="Arial;Helvetica;sans-serif"/>
                <w:b/>
                <w:sz w:val="17"/>
              </w:rPr>
            </w:pPr>
            <w:r>
              <w:rPr>
                <w:rFonts w:ascii="Arial;Helvetica;sans-serif" w:hAnsi="Arial;Helvetica;sans-serif"/>
                <w:b/>
                <w:sz w:val="17"/>
              </w:rPr>
              <w:t>December 31,</w:t>
            </w:r>
          </w:p>
        </w:tc>
      </w:tr>
      <w:tr>
        <w:trPr/>
        <w:tc>
          <w:tcPr>
            <w:tcW w:w="7539"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(In thousands, except share and per share data)</w:t>
            </w:r>
          </w:p>
        </w:tc>
        <w:tc>
          <w:tcPr>
            <w:tcW w:w="346" w:type="dxa"/>
            <w:tcBorders/>
            <w:vAlign w:val="center"/>
          </w:tcPr>
          <w:p>
            <w:pPr>
              <w:pStyle w:val="TableContents"/>
              <w:bidi w:val="0"/>
              <w:spacing w:lineRule="auto" w:line="328"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7"/>
              </w:rPr>
            </w:pPr>
            <w:r>
              <w:rPr>
                <w:rFonts w:ascii="Arial;Helvetica;sans-serif" w:hAnsi="Arial;Helvetica;sans-serif"/>
                <w:b/>
                <w:sz w:val="17"/>
              </w:rPr>
              <w:t>2026</w:t>
            </w:r>
          </w:p>
        </w:tc>
        <w:tc>
          <w:tcPr>
            <w:tcW w:w="346" w:type="dxa"/>
            <w:tcBorders/>
            <w:vAlign w:val="center"/>
          </w:tcPr>
          <w:p>
            <w:pPr>
              <w:pStyle w:val="TableContents"/>
              <w:bidi w:val="0"/>
              <w:spacing w:lineRule="auto" w:line="328" w:before="0" w:after="1"/>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7"/>
              </w:rPr>
            </w:pPr>
            <w:r>
              <w:rPr>
                <w:rFonts w:ascii="Arial;Helvetica;sans-serif" w:hAnsi="Arial;Helvetica;sans-serif"/>
                <w:b/>
                <w:sz w:val="17"/>
              </w:rPr>
              <w:t>2025</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b/>
                <w:i/>
                <w:sz w:val="17"/>
              </w:rPr>
            </w:pPr>
            <w:r>
              <w:rPr>
                <w:rFonts w:ascii="Arial;Helvetica;sans-serif" w:hAnsi="Arial;Helvetica;sans-serif"/>
                <w:b/>
                <w:i/>
                <w:sz w:val="17"/>
              </w:rPr>
              <w:t>Assets</w:t>
            </w:r>
          </w:p>
        </w:tc>
        <w:tc>
          <w:tcPr>
            <w:tcW w:w="346" w:type="dxa"/>
            <w:tcBorders/>
            <w:vAlign w:val="center"/>
          </w:tcPr>
          <w:p>
            <w:pPr>
              <w:pStyle w:val="TableContents"/>
              <w:bidi w:val="0"/>
              <w:spacing w:lineRule="auto" w:line="328" w:before="0" w:after="200"/>
              <w:ind w:left="0" w:right="0" w:hanging="0"/>
              <w:jc w:val="left"/>
              <w:rPr/>
            </w:pPr>
            <w:r>
              <w:rPr/>
              <w:t>​</w:t>
            </w:r>
          </w:p>
        </w:tc>
        <w:tc>
          <w:tcPr>
            <w:tcW w:w="887" w:type="dxa"/>
            <w:gridSpan w:val="2"/>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200"/>
              <w:ind w:left="0" w:right="0" w:hanging="0"/>
              <w:jc w:val="left"/>
              <w:rPr/>
            </w:pPr>
            <w:r>
              <w:rPr/>
              <w:t>​</w:t>
            </w:r>
          </w:p>
        </w:tc>
        <w:tc>
          <w:tcPr>
            <w:tcW w:w="870" w:type="dxa"/>
            <w:tcBorders/>
            <w:vAlign w:val="center"/>
          </w:tcPr>
          <w:p>
            <w:pPr>
              <w:pStyle w:val="TableContents"/>
              <w:bidi w:val="0"/>
              <w:spacing w:lineRule="auto" w:line="328" w:before="0" w:after="200"/>
              <w:ind w:left="0" w:right="0" w:hanging="0"/>
              <w:jc w:val="right"/>
              <w:rPr/>
            </w:pPr>
            <w:r>
              <w:rPr/>
              <w:t>​</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Current assets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200"/>
              <w:ind w:left="0" w:right="0" w:hanging="0"/>
              <w:jc w:val="left"/>
              <w:rPr/>
            </w:pPr>
            <w:r>
              <w:rPr/>
              <w:t>​</w:t>
            </w:r>
          </w:p>
        </w:tc>
        <w:tc>
          <w:tcPr>
            <w:tcW w:w="691"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0" w:after="200"/>
              <w:ind w:left="0" w:right="0" w:hanging="0"/>
              <w:jc w:val="right"/>
              <w:rPr/>
            </w:pPr>
            <w:r>
              <w:rPr/>
              <w:t>​</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Cash</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69,853</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83,446</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Accounts receivable, net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43,140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43,876</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Net investment in leases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14,927</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15,754</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Inventories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16,845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14,025</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Income taxes receivable</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912</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pPr>
            <w:r>
              <w:rPr/>
              <w:t>—</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Prepaid expenses and other current assets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11,925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8,066</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Total current assets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157,602</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165,167</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Non-current assets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200"/>
              <w:ind w:left="0" w:right="0" w:hanging="0"/>
              <w:jc w:val="left"/>
              <w:rPr/>
            </w:pPr>
            <w:r>
              <w:rPr/>
              <w:t>​</w:t>
            </w:r>
          </w:p>
        </w:tc>
        <w:tc>
          <w:tcPr>
            <w:tcW w:w="691"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0" w:after="200"/>
              <w:ind w:left="0" w:right="0" w:hanging="0"/>
              <w:jc w:val="right"/>
              <w:rPr/>
            </w:pPr>
            <w:r>
              <w:rPr/>
              <w:t>​</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Property and equipment, net</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5,849</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5,117</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Right of use operating lease assets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12,553</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13,798</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Intangible assets, net</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44,747</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39,167</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Goodwill</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200"/>
              <w:ind w:left="0" w:right="0" w:hanging="0"/>
              <w:jc w:val="left"/>
              <w:rPr/>
            </w:pPr>
            <w:r>
              <w:rPr/>
              <w:t>​</w:t>
            </w:r>
          </w:p>
        </w:tc>
        <w:tc>
          <w:tcPr>
            <w:tcW w:w="69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39,554</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31,063</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Deferred income taxes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8,703</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9,783</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Other non-current assets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10,660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9,847</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Total non-current assets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122,066</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108,775</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Total assets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279,668</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70"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273,942</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b/>
                <w:i/>
                <w:sz w:val="17"/>
              </w:rPr>
            </w:pPr>
            <w:r>
              <w:rPr>
                <w:rFonts w:ascii="Arial;Helvetica;sans-serif" w:hAnsi="Arial;Helvetica;sans-serif"/>
                <w:b/>
                <w:i/>
                <w:sz w:val="17"/>
              </w:rPr>
              <w:t>Liabilities and Stockholders' Equity</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200"/>
              <w:ind w:left="0" w:right="0" w:hanging="0"/>
              <w:jc w:val="left"/>
              <w:rPr/>
            </w:pPr>
            <w:r>
              <w:rPr/>
              <w:t>​</w:t>
            </w:r>
          </w:p>
        </w:tc>
        <w:tc>
          <w:tcPr>
            <w:tcW w:w="691" w:type="dxa"/>
            <w:tcBorders/>
            <w:vAlign w:val="center"/>
          </w:tcPr>
          <w:p>
            <w:pPr>
              <w:pStyle w:val="TableContents"/>
              <w:bidi w:val="0"/>
              <w:spacing w:lineRule="auto" w:line="328" w:before="0" w:after="200"/>
              <w:ind w:left="0" w:right="0" w:hanging="0"/>
              <w:jc w:val="righ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200"/>
              <w:ind w:left="0" w:right="0" w:hanging="0"/>
              <w:jc w:val="left"/>
              <w:rPr/>
            </w:pPr>
            <w:r>
              <w:rPr/>
              <w:t>​</w:t>
            </w:r>
          </w:p>
        </w:tc>
        <w:tc>
          <w:tcPr>
            <w:tcW w:w="870" w:type="dxa"/>
            <w:tcBorders/>
            <w:vAlign w:val="center"/>
          </w:tcPr>
          <w:p>
            <w:pPr>
              <w:pStyle w:val="TableContents"/>
              <w:bidi w:val="0"/>
              <w:spacing w:lineRule="auto" w:line="328" w:before="0" w:after="200"/>
              <w:ind w:left="0" w:right="0" w:hanging="0"/>
              <w:jc w:val="right"/>
              <w:rPr/>
            </w:pPr>
            <w:r>
              <w:rPr/>
              <w:t>​</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Current liabilities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200"/>
              <w:ind w:left="0" w:right="0" w:hanging="0"/>
              <w:jc w:val="left"/>
              <w:rPr/>
            </w:pPr>
            <w:r>
              <w:rPr/>
              <w:t>​</w:t>
            </w:r>
          </w:p>
        </w:tc>
        <w:tc>
          <w:tcPr>
            <w:tcW w:w="691"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0" w:after="200"/>
              <w:ind w:left="0" w:right="0" w:hanging="0"/>
              <w:jc w:val="right"/>
              <w:rPr/>
            </w:pPr>
            <w:r>
              <w:rPr/>
              <w:t>​</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Accounts payable</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7,923</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4,968</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Accrued payroll and related taxes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15,615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19,378</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Accrued expenses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8,423</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8,531</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Income taxes payable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1,428</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Operating lease liabilities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3,095</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3,195</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Other current liabilities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3,197</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3,457</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Total current liabilities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38,253</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40,957</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Non-current liabilities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200"/>
              <w:ind w:left="0" w:right="0" w:hanging="0"/>
              <w:jc w:val="left"/>
              <w:rPr/>
            </w:pPr>
            <w:r>
              <w:rPr/>
              <w:t>​</w:t>
            </w:r>
          </w:p>
        </w:tc>
        <w:tc>
          <w:tcPr>
            <w:tcW w:w="691"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0" w:after="200"/>
              <w:ind w:left="0" w:right="0" w:hanging="0"/>
              <w:jc w:val="right"/>
              <w:rPr/>
            </w:pPr>
            <w:r>
              <w:rPr/>
              <w:t>​</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Accrued warranty reserve, non-current</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1,079</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1,045</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Income taxes payable, non-current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370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275</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Operating lease liabilities, non-current</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200"/>
              <w:ind w:left="0" w:right="0" w:hanging="0"/>
              <w:jc w:val="left"/>
              <w:rPr/>
            </w:pPr>
            <w:r>
              <w:rPr/>
              <w:t>​</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11,267</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12,763</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6"/>
              </w:rPr>
            </w:pPr>
            <w:r>
              <w:rPr>
                <w:rFonts w:ascii="Arial;Helvetica;sans-serif" w:hAnsi="Arial;Helvetica;sans-serif"/>
                <w:sz w:val="16"/>
              </w:rPr>
              <w:t>Other non-current liabilities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4,863</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pPr>
            <w:r>
              <w:rPr/>
              <w:t>—</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Total non-current liabilities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17,579</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14,083</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Total liabilities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55,832</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55,040</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Stockholders’ equity:</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200"/>
              <w:ind w:left="0" w:right="0" w:hanging="0"/>
              <w:jc w:val="left"/>
              <w:rPr/>
            </w:pPr>
            <w:r>
              <w:rPr/>
              <w:t>​</w:t>
            </w:r>
          </w:p>
        </w:tc>
        <w:tc>
          <w:tcPr>
            <w:tcW w:w="691" w:type="dxa"/>
            <w:tcBorders/>
            <w:vAlign w:val="center"/>
          </w:tcPr>
          <w:p>
            <w:pPr>
              <w:pStyle w:val="TableContents"/>
              <w:bidi w:val="0"/>
              <w:spacing w:lineRule="auto" w:line="328" w:before="0" w:after="200"/>
              <w:ind w:left="0" w:right="0" w:hanging="0"/>
              <w:jc w:val="righ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200"/>
              <w:ind w:left="0" w:right="0" w:hanging="0"/>
              <w:jc w:val="left"/>
              <w:rPr/>
            </w:pPr>
            <w:r>
              <w:rPr/>
              <w:t>​</w:t>
            </w:r>
          </w:p>
        </w:tc>
        <w:tc>
          <w:tcPr>
            <w:tcW w:w="870" w:type="dxa"/>
            <w:tcBorders/>
            <w:vAlign w:val="center"/>
          </w:tcPr>
          <w:p>
            <w:pPr>
              <w:pStyle w:val="TableContents"/>
              <w:bidi w:val="0"/>
              <w:spacing w:lineRule="auto" w:line="328" w:before="0" w:after="200"/>
              <w:ind w:left="0" w:right="0" w:hanging="0"/>
              <w:jc w:val="right"/>
              <w:rPr/>
            </w:pPr>
            <w:r>
              <w:rPr/>
              <w:t>​</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Preferred stock, $0.001 par value, 50,000,000 shares authorized; none issued and outstanding as of June 30, 2026 and December 31, 2025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pPr>
            <w:r>
              <w:rPr/>
              <w:t>—</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Common stock, $0.001 par value, 300,000,000 shares authorized; 22,701,241 shares issued and outstanding as of June 30, 2026; 22,438,926 shares issued and outstanding as of December 31, 2025</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vAlign w:val="center"/>
          </w:tcPr>
          <w:p>
            <w:pPr>
              <w:pStyle w:val="TableContents"/>
              <w:bidi w:val="0"/>
              <w:spacing w:lineRule="auto" w:line="328" w:before="0" w:after="1"/>
              <w:ind w:left="0" w:right="0" w:hanging="0"/>
              <w:jc w:val="left"/>
              <w:rPr/>
            </w:pPr>
            <w:r>
              <w:rPr/>
              <w:t> </w:t>
            </w:r>
          </w:p>
        </w:tc>
        <w:tc>
          <w:tcPr>
            <w:tcW w:w="691"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23</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vAlign w:val="center"/>
          </w:tcPr>
          <w:p>
            <w:pPr>
              <w:pStyle w:val="TableContents"/>
              <w:bidi w:val="0"/>
              <w:spacing w:lineRule="auto" w:line="328" w:before="0" w:after="1"/>
              <w:ind w:left="0" w:right="0" w:hanging="0"/>
              <w:jc w:val="left"/>
              <w:rPr/>
            </w:pPr>
            <w:r>
              <w:rPr/>
              <w:t> </w:t>
            </w:r>
          </w:p>
        </w:tc>
        <w:tc>
          <w:tcPr>
            <w:tcW w:w="870" w:type="dxa"/>
            <w:tcBorders/>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22</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Additional paid-in capital</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shd w:fill="CCEEFF" w:val="clear"/>
            <w:vAlign w:val="center"/>
          </w:tcPr>
          <w:p>
            <w:pPr>
              <w:pStyle w:val="TableContents"/>
              <w:bidi w:val="0"/>
              <w:spacing w:lineRule="auto" w:line="328" w:before="0" w:after="1"/>
              <w:ind w:left="0" w:right="0" w:hanging="0"/>
              <w:jc w:val="left"/>
              <w:rPr/>
            </w:pPr>
            <w:r>
              <w:rPr/>
              <w:t> </w:t>
            </w:r>
          </w:p>
        </w:tc>
        <w:tc>
          <w:tcPr>
            <w:tcW w:w="69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162,851</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shd w:fill="CCEEFF" w:val="clear"/>
            <w:vAlign w:val="center"/>
          </w:tcPr>
          <w:p>
            <w:pPr>
              <w:pStyle w:val="TableContents"/>
              <w:bidi w:val="0"/>
              <w:spacing w:lineRule="auto" w:line="328" w:before="0" w:after="1"/>
              <w:ind w:left="0" w:right="0" w:hanging="0"/>
              <w:jc w:val="left"/>
              <w:rPr/>
            </w:pPr>
            <w:r>
              <w:rPr/>
              <w:t> </w:t>
            </w:r>
          </w:p>
        </w:tc>
        <w:tc>
          <w:tcPr>
            <w:tcW w:w="870"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163,940</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Retained earnings</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60,962</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54,940</w:t>
            </w:r>
          </w:p>
        </w:tc>
      </w:tr>
      <w:tr>
        <w:trPr/>
        <w:tc>
          <w:tcPr>
            <w:tcW w:w="7539"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Total stockholders’ equity</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223,836</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218,902</w:t>
            </w:r>
          </w:p>
        </w:tc>
      </w:tr>
      <w:tr>
        <w:trPr/>
        <w:tc>
          <w:tcPr>
            <w:tcW w:w="7539" w:type="dxa"/>
            <w:tcBorders/>
            <w:vAlign w:val="center"/>
          </w:tcPr>
          <w:p>
            <w:pPr>
              <w:pStyle w:val="TableContents"/>
              <w:bidi w:val="0"/>
              <w:spacing w:lineRule="auto" w:line="328" w:before="0" w:after="1"/>
              <w:ind w:left="0" w:right="0" w:hanging="0"/>
              <w:jc w:val="left"/>
              <w:rPr>
                <w:rFonts w:ascii="Arial;Helvetica;sans-serif" w:hAnsi="Arial;Helvetica;sans-serif"/>
                <w:b/>
                <w:sz w:val="17"/>
              </w:rPr>
            </w:pPr>
            <w:r>
              <w:rPr>
                <w:rFonts w:ascii="Arial;Helvetica;sans-serif" w:hAnsi="Arial;Helvetica;sans-serif"/>
                <w:b/>
                <w:sz w:val="17"/>
              </w:rPr>
              <w:t>Total liabilities and stockholders’ equity</w:t>
            </w:r>
          </w:p>
        </w:tc>
        <w:tc>
          <w:tcPr>
            <w:tcW w:w="346" w:type="dxa"/>
            <w:tcBorders/>
            <w:vAlign w:val="center"/>
          </w:tcPr>
          <w:p>
            <w:pPr>
              <w:pStyle w:val="TableContents"/>
              <w:bidi w:val="0"/>
              <w:spacing w:lineRule="auto" w:line="328" w:before="0" w:after="20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7"/>
              </w:rPr>
            </w:pPr>
            <w:r>
              <w:rPr>
                <w:rFonts w:ascii="Arial;Helvetica;sans-serif" w:hAnsi="Arial;Helvetica;sans-serif"/>
                <w:sz w:val="17"/>
              </w:rPr>
              <w:t>279,668</w:t>
            </w:r>
          </w:p>
        </w:tc>
        <w:tc>
          <w:tcPr>
            <w:tcW w:w="346" w:type="dxa"/>
            <w:tcBorders/>
            <w:vAlign w:val="center"/>
          </w:tcPr>
          <w:p>
            <w:pPr>
              <w:pStyle w:val="TableContents"/>
              <w:bidi w:val="0"/>
              <w:spacing w:lineRule="auto" w:line="328" w:before="0" w:after="20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70" w:type="dxa"/>
            <w:tcBorders>
              <w:bottom w:val="double" w:sz="6" w:space="0" w:color="000000"/>
            </w:tcBorders>
            <w:tcMar>
              <w:bottom w:w="28" w:type="dxa"/>
            </w:tcMar>
            <w:vAlign w:val="center"/>
          </w:tcPr>
          <w:p>
            <w:pPr>
              <w:pStyle w:val="TableContents"/>
              <w:bidi w:val="0"/>
              <w:spacing w:lineRule="auto" w:line="328" w:before="0" w:after="1"/>
              <w:ind w:left="0" w:right="48" w:hanging="0"/>
              <w:jc w:val="right"/>
              <w:rPr>
                <w:rFonts w:ascii="Arial;Helvetica;sans-serif" w:hAnsi="Arial;Helvetica;sans-serif"/>
                <w:sz w:val="17"/>
              </w:rPr>
            </w:pPr>
            <w:r>
              <w:rPr>
                <w:rFonts w:ascii="Arial;Helvetica;sans-serif" w:hAnsi="Arial;Helvetica;sans-serif"/>
                <w:sz w:val="17"/>
              </w:rPr>
              <w:t>273,942</w:t>
            </w:r>
          </w:p>
        </w:tc>
      </w:tr>
    </w:tbl>
    <w:p>
      <w:pPr>
        <w:pStyle w:val="TextBody"/>
        <w:shd w:fill="FFFFFF" w:val="clear"/>
        <w:bidi w:val="0"/>
        <w:spacing w:lineRule="auto" w:line="328" w:before="0" w:after="200"/>
        <w:ind w:left="0" w:right="0" w:hanging="0"/>
        <w:jc w:val="center"/>
        <w:rPr/>
      </w:pPr>
      <w:r>
        <w:rPr/>
        <w:t>​</w:t>
      </w:r>
    </w:p>
    <w:p>
      <w:pPr>
        <w:pStyle w:val="TextBody"/>
        <w:shd w:fill="FFFFFF" w:val="clear"/>
        <w:bidi w:val="0"/>
        <w:spacing w:lineRule="auto" w:line="328" w:before="0" w:after="200"/>
        <w:ind w:left="0" w:right="0" w:hanging="0"/>
        <w:jc w:val="center"/>
        <w:rPr/>
      </w:pPr>
      <w:r>
        <w:rPr/>
        <w:t>​</w:t>
      </w:r>
    </w:p>
    <w:p>
      <w:pPr>
        <w:pStyle w:val="TextBody"/>
        <w:shd w:fill="FFFFFF" w:val="clear"/>
        <w:bidi w:val="0"/>
        <w:spacing w:lineRule="auto" w:line="328" w:before="0" w:after="200"/>
        <w:ind w:left="0" w:right="0" w:hanging="0"/>
        <w:jc w:val="center"/>
        <w:rPr/>
      </w:pPr>
      <w:r>
        <w:rPr/>
        <w:t>​</w:t>
      </w:r>
    </w:p>
    <w:p>
      <w:pPr>
        <w:pStyle w:val="TextBody"/>
        <w:shd w:fill="FFFFFF" w:val="clear"/>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728"/>
        <w:gridCol w:w="346"/>
        <w:gridCol w:w="211"/>
        <w:gridCol w:w="1036"/>
        <w:gridCol w:w="346"/>
        <w:gridCol w:w="211"/>
        <w:gridCol w:w="1036"/>
        <w:gridCol w:w="346"/>
        <w:gridCol w:w="211"/>
        <w:gridCol w:w="1036"/>
        <w:gridCol w:w="346"/>
        <w:gridCol w:w="211"/>
        <w:gridCol w:w="1141"/>
      </w:tblGrid>
      <w:tr>
        <w:trPr/>
        <w:tc>
          <w:tcPr>
            <w:tcW w:w="3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67280" cy="175260"/>
                      <wp:effectExtent l="0" t="0" r="0" b="0"/>
                      <wp:wrapNone/>
                      <wp:docPr id="13" name="Frame13"/>
                      <a:graphic xmlns:a="http://schemas.openxmlformats.org/drawingml/2006/main">
                        <a:graphicData uri="http://schemas.microsoft.com/office/word/2010/wordprocessingShape">
                          <wps:wsp>
                            <wps:cNvSpPr txBox="1"/>
                            <wps:spPr>
                              <a:xfrm>
                                <a:off x="0" y="0"/>
                                <a:ext cx="236728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57860" cy="175260"/>
                      <wp:effectExtent l="0" t="0" r="0" b="0"/>
                      <wp:wrapNone/>
                      <wp:docPr id="19"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7860" cy="175260"/>
                      <wp:effectExtent l="0" t="0" r="0" b="0"/>
                      <wp:wrapNone/>
                      <wp:docPr id="22"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24535" cy="175260"/>
                      <wp:effectExtent l="0" t="0" r="0" b="0"/>
                      <wp:wrapNone/>
                      <wp:docPr id="25" name="Frame2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r>
      <w:tr>
        <w:trPr/>
        <w:tc>
          <w:tcPr>
            <w:tcW w:w="10205" w:type="dxa"/>
            <w:gridSpan w:val="13"/>
            <w:tcBorders/>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Tactile Systems Technology, Inc.</w:t>
            </w:r>
          </w:p>
        </w:tc>
      </w:tr>
      <w:tr>
        <w:trPr/>
        <w:tc>
          <w:tcPr>
            <w:tcW w:w="10205" w:type="dxa"/>
            <w:gridSpan w:val="13"/>
            <w:tcBorders/>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Condensed Consolidated Statements of Operations</w:t>
            </w:r>
          </w:p>
        </w:tc>
      </w:tr>
      <w:tr>
        <w:trPr/>
        <w:tc>
          <w:tcPr>
            <w:tcW w:w="10205" w:type="dxa"/>
            <w:gridSpan w:val="13"/>
            <w:tcBorders/>
            <w:vAlign w:val="center"/>
          </w:tcPr>
          <w:p>
            <w:pPr>
              <w:pStyle w:val="TableContents"/>
              <w:bidi w:val="0"/>
              <w:spacing w:lineRule="auto" w:line="328" w:before="0" w:after="1"/>
              <w:ind w:left="0" w:right="0" w:hanging="0"/>
              <w:jc w:val="center"/>
              <w:rPr>
                <w:rFonts w:ascii="Arial;Helvetica;sans-serif" w:hAnsi="Arial;Helvetica;sans-serif"/>
                <w:sz w:val="18"/>
              </w:rPr>
            </w:pPr>
            <w:r>
              <w:rPr>
                <w:rFonts w:ascii="Arial;Helvetica;sans-serif" w:hAnsi="Arial;Helvetica;sans-serif"/>
                <w:sz w:val="18"/>
              </w:rPr>
              <w:t>(Unaudited)</w:t>
            </w:r>
          </w:p>
        </w:tc>
      </w:tr>
      <w:tr>
        <w:trPr/>
        <w:tc>
          <w:tcPr>
            <w:tcW w:w="3728"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03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03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03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141" w:type="dxa"/>
            <w:tcBorders/>
            <w:vAlign w:val="center"/>
          </w:tcPr>
          <w:p>
            <w:pPr>
              <w:pStyle w:val="TableContents"/>
              <w:bidi w:val="0"/>
              <w:spacing w:lineRule="auto" w:line="328" w:before="0" w:after="200"/>
              <w:ind w:left="0" w:right="0" w:hanging="0"/>
              <w:jc w:val="center"/>
              <w:rPr/>
            </w:pPr>
            <w:r>
              <w:rPr/>
              <w:t>​</w:t>
            </w:r>
          </w:p>
        </w:tc>
      </w:tr>
      <w:tr>
        <w:trPr/>
        <w:tc>
          <w:tcPr>
            <w:tcW w:w="3728"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03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03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03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1141" w:type="dxa"/>
            <w:tcBorders/>
            <w:vAlign w:val="center"/>
          </w:tcPr>
          <w:p>
            <w:pPr>
              <w:pStyle w:val="TableContents"/>
              <w:bidi w:val="0"/>
              <w:spacing w:lineRule="auto" w:line="328" w:before="0" w:after="200"/>
              <w:ind w:left="0" w:right="0" w:hanging="0"/>
              <w:jc w:val="center"/>
              <w:rPr/>
            </w:pPr>
            <w:r>
              <w:rPr/>
              <w:t>​</w:t>
            </w:r>
          </w:p>
        </w:tc>
      </w:tr>
      <w:tr>
        <w:trPr/>
        <w:tc>
          <w:tcPr>
            <w:tcW w:w="3728"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840" w:type="dxa"/>
            <w:gridSpan w:val="5"/>
            <w:tcBorders/>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Three Months Ended</w:t>
            </w:r>
          </w:p>
        </w:tc>
        <w:tc>
          <w:tcPr>
            <w:tcW w:w="346" w:type="dxa"/>
            <w:tcBorders/>
            <w:vAlign w:val="center"/>
          </w:tcPr>
          <w:p>
            <w:pPr>
              <w:pStyle w:val="TableContents"/>
              <w:bidi w:val="0"/>
              <w:spacing w:lineRule="auto" w:line="328" w:before="0" w:after="200"/>
              <w:ind w:left="0" w:right="0" w:hanging="0"/>
              <w:jc w:val="left"/>
              <w:rPr/>
            </w:pPr>
            <w:r>
              <w:rPr/>
              <w:t>​</w:t>
            </w:r>
          </w:p>
        </w:tc>
        <w:tc>
          <w:tcPr>
            <w:tcW w:w="2945" w:type="dxa"/>
            <w:gridSpan w:val="5"/>
            <w:tcBorders/>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 xml:space="preserve">Six Months Ended </w:t>
            </w:r>
          </w:p>
        </w:tc>
      </w:tr>
      <w:tr>
        <w:trPr/>
        <w:tc>
          <w:tcPr>
            <w:tcW w:w="3728"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June 30,</w:t>
            </w:r>
          </w:p>
        </w:tc>
        <w:tc>
          <w:tcPr>
            <w:tcW w:w="346" w:type="dxa"/>
            <w:tcBorders/>
            <w:vAlign w:val="center"/>
          </w:tcPr>
          <w:p>
            <w:pPr>
              <w:pStyle w:val="TableContents"/>
              <w:bidi w:val="0"/>
              <w:spacing w:lineRule="auto" w:line="328" w:before="0" w:after="20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June 30,</w:t>
            </w:r>
          </w:p>
        </w:tc>
      </w:tr>
      <w:tr>
        <w:trPr/>
        <w:tc>
          <w:tcPr>
            <w:tcW w:w="3728"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 thousands, except share and per share data)</w:t>
            </w:r>
          </w:p>
        </w:tc>
        <w:tc>
          <w:tcPr>
            <w:tcW w:w="346" w:type="dxa"/>
            <w:tcBorders/>
            <w:vAlign w:val="center"/>
          </w:tcPr>
          <w:p>
            <w:pPr>
              <w:pStyle w:val="TableContents"/>
              <w:bidi w:val="0"/>
              <w:spacing w:lineRule="auto" w:line="328"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328"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328"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328"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141" w:type="dxa"/>
            <w:tcBorders/>
            <w:shd w:fill="CCEEFF" w:val="clear"/>
            <w:vAlign w:val="center"/>
          </w:tcPr>
          <w:p>
            <w:pPr>
              <w:pStyle w:val="TableContents"/>
              <w:bidi w:val="0"/>
              <w:spacing w:lineRule="auto" w:line="328" w:before="0" w:after="200"/>
              <w:ind w:left="0" w:right="0" w:hanging="0"/>
              <w:jc w:val="right"/>
              <w:rPr/>
            </w:pPr>
            <w:r>
              <w:rPr/>
              <w:t>​</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Sales revenue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76,489</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70,531</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143,455</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123,000</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Rental revenue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9,209</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8,374</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17,510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17,173</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85,698</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78,905</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160,965</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140,173</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Cost of revenue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141" w:type="dxa"/>
            <w:tcBorders/>
            <w:shd w:fill="CCEEFF" w:val="clear"/>
            <w:vAlign w:val="center"/>
          </w:tcPr>
          <w:p>
            <w:pPr>
              <w:pStyle w:val="TableContents"/>
              <w:bidi w:val="0"/>
              <w:spacing w:lineRule="auto" w:line="328" w:before="0" w:after="200"/>
              <w:ind w:left="0" w:right="0" w:hanging="0"/>
              <w:jc w:val="right"/>
              <w:rPr/>
            </w:pPr>
            <w:r>
              <w:rPr/>
              <w:t>​</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Cost of sales revenue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17,628</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17,483</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32,887</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31,374</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Cost of rental revenue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2,721</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2,629</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5,115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4,660</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Total cost of revenue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20,349</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20,112</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38,002</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36,034</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Gross profit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141" w:type="dxa"/>
            <w:tcBorders/>
            <w:shd w:fill="CCEEFF" w:val="clear"/>
            <w:vAlign w:val="center"/>
          </w:tcPr>
          <w:p>
            <w:pPr>
              <w:pStyle w:val="TableContents"/>
              <w:bidi w:val="0"/>
              <w:spacing w:lineRule="auto" w:line="328" w:before="0" w:after="200"/>
              <w:ind w:left="0" w:right="0" w:hanging="0"/>
              <w:jc w:val="right"/>
              <w:rPr/>
            </w:pPr>
            <w:r>
              <w:rPr/>
              <w:t>​</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Gross profit - sales revenue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58,861</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53,048</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110,568</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91,626</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Gross profit - rental revenue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6,488</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5,745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12,395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12,513</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Gross profit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65,349</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58,793</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122,963</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104,139</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lef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lef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lef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141" w:type="dxa"/>
            <w:tcBorders/>
            <w:shd w:fill="CCEEFF" w:val="clear"/>
            <w:vAlign w:val="center"/>
          </w:tcPr>
          <w:p>
            <w:pPr>
              <w:pStyle w:val="TableContents"/>
              <w:bidi w:val="0"/>
              <w:spacing w:lineRule="auto" w:line="328" w:before="0" w:after="200"/>
              <w:ind w:left="0" w:right="0" w:hanging="0"/>
              <w:jc w:val="left"/>
              <w:rPr/>
            </w:pPr>
            <w:r>
              <w:rPr/>
              <w:t>​</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Sales and marketing</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32,012</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30,039</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64,744</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57,555</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Research and development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2,501</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2,018</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5,277</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14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3,759</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Reimbursement, general and administrative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23,360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22,034</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46,404</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pPr>
            <w:r>
              <w:rPr/>
              <w:t> </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42,032</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Intangible asset amortization and earn-out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650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619</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1,246</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1,252</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Total operating expenses</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58,523</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54,710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117,671</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104,598</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Income (loss) from operations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6,826</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4,083</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5,292</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14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(459)</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561</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850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1,227</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1,745</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(19)</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(410)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(47)</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14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(834)</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Other income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Income before income taxes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7,368</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4,524</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6,472</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114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453</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Income tax (benefit) expense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(417)</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1,307</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450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210</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Net income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7,785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3,217</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6,022</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243</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Net income per common share</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141" w:type="dxa"/>
            <w:tcBorders/>
            <w:vAlign w:val="center"/>
          </w:tcPr>
          <w:p>
            <w:pPr>
              <w:pStyle w:val="TableContents"/>
              <w:bidi w:val="0"/>
              <w:spacing w:lineRule="auto" w:line="328" w:before="0" w:after="200"/>
              <w:ind w:left="0" w:right="0" w:hanging="0"/>
              <w:jc w:val="left"/>
              <w:rPr/>
            </w:pPr>
            <w:r>
              <w:rPr/>
              <w:t>​</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0.34 </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0.14 </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0.27 </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0.01 </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0.34 </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0.14 </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0.26 </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 xml:space="preserve">0.01 </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Weighted-average common shares used to compute net income per common share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lef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lef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200"/>
              <w:ind w:left="0" w:right="0" w:hanging="0"/>
              <w:jc w:val="lef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141" w:type="dxa"/>
            <w:tcBorders/>
            <w:shd w:fill="CCEEFF" w:val="clear"/>
            <w:vAlign w:val="center"/>
          </w:tcPr>
          <w:p>
            <w:pPr>
              <w:pStyle w:val="TableContents"/>
              <w:bidi w:val="0"/>
              <w:spacing w:lineRule="auto" w:line="328" w:before="0" w:after="200"/>
              <w:ind w:left="0" w:right="0" w:hanging="0"/>
              <w:jc w:val="left"/>
              <w:rPr/>
            </w:pPr>
            <w:r>
              <w:rPr/>
              <w:t>​</w:t>
            </w:r>
          </w:p>
        </w:tc>
      </w:tr>
      <w:tr>
        <w:trPr/>
        <w:tc>
          <w:tcPr>
            <w:tcW w:w="372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22,676,673</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23,092,469</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036"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22,620,546</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114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23,399,848</w:t>
            </w:r>
          </w:p>
        </w:tc>
      </w:tr>
      <w:tr>
        <w:trPr/>
        <w:tc>
          <w:tcPr>
            <w:tcW w:w="372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23,058,902</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23,237,671</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03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23,135,040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1141" w:type="dxa"/>
            <w:tcBorders/>
            <w:shd w:fill="CCEEFF" w:val="clear"/>
            <w:vAlign w:val="center"/>
          </w:tcPr>
          <w:p>
            <w:pPr>
              <w:pStyle w:val="TableContents"/>
              <w:bidi w:val="0"/>
              <w:spacing w:lineRule="auto" w:line="328" w:before="0" w:after="1"/>
              <w:ind w:left="0" w:right="60" w:hanging="0"/>
              <w:jc w:val="right"/>
              <w:rPr>
                <w:rFonts w:ascii="Arial;Helvetica;sans-serif" w:hAnsi="Arial;Helvetica;sans-serif"/>
                <w:sz w:val="18"/>
              </w:rPr>
            </w:pPr>
            <w:r>
              <w:rPr>
                <w:rFonts w:ascii="Arial;Helvetica;sans-serif" w:hAnsi="Arial;Helvetica;sans-serif"/>
                <w:sz w:val="18"/>
              </w:rPr>
              <w:t>23,679,220</w:t>
            </w:r>
          </w:p>
        </w:tc>
      </w:tr>
    </w:tbl>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left"/>
        <w:rPr/>
      </w:pPr>
      <w:r>
        <w:rPr/>
        <w:t>​</w:t>
      </w:r>
    </w:p>
    <w:p>
      <w:pPr>
        <w:pStyle w:val="TextBody"/>
        <w:shd w:fill="FFFFFF" w:val="clear"/>
        <w:bidi w:val="0"/>
        <w:spacing w:lineRule="auto" w:line="328" w:before="0" w:after="200"/>
        <w:ind w:left="0" w:right="0" w:hanging="0"/>
        <w:jc w:val="center"/>
        <w:rPr/>
      </w:pPr>
      <w:r>
        <w:rPr/>
        <w:t>​</w:t>
      </w:r>
    </w:p>
    <w:tbl>
      <w:tblPr>
        <w:tblW w:w="9871" w:type="dxa"/>
        <w:jc w:val="left"/>
        <w:tblInd w:w="0" w:type="dxa"/>
        <w:tblLayout w:type="fixed"/>
        <w:tblCellMar>
          <w:top w:w="0" w:type="dxa"/>
          <w:left w:w="0" w:type="dxa"/>
          <w:bottom w:w="0" w:type="dxa"/>
          <w:right w:w="0" w:type="dxa"/>
        </w:tblCellMar>
      </w:tblPr>
      <w:tblGrid>
        <w:gridCol w:w="7036"/>
        <w:gridCol w:w="346"/>
        <w:gridCol w:w="218"/>
        <w:gridCol w:w="824"/>
        <w:gridCol w:w="358"/>
        <w:gridCol w:w="218"/>
        <w:gridCol w:w="871"/>
      </w:tblGrid>
      <w:tr>
        <w:trPr/>
        <w:tc>
          <w:tcPr>
            <w:tcW w:w="7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467860" cy="175260"/>
                      <wp:effectExtent l="0" t="0" r="0" b="0"/>
                      <wp:wrapNone/>
                      <wp:docPr id="26" name="Frame26"/>
                      <a:graphic xmlns:a="http://schemas.openxmlformats.org/drawingml/2006/main">
                        <a:graphicData uri="http://schemas.microsoft.com/office/word/2010/wordprocessingShape">
                          <wps:wsp>
                            <wps:cNvSpPr txBox="1"/>
                            <wps:spPr>
                              <a:xfrm>
                                <a:off x="0" y="0"/>
                                <a:ext cx="44678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8430" cy="175260"/>
                      <wp:effectExtent l="0" t="0" r="0" b="0"/>
                      <wp:wrapNone/>
                      <wp:docPr id="28" name="Frame2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23240" cy="175260"/>
                      <wp:effectExtent l="0" t="0" r="0" b="0"/>
                      <wp:wrapNone/>
                      <wp:docPr id="29" name="Frame29"/>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7330" cy="175260"/>
                      <wp:effectExtent l="0" t="0" r="0" b="0"/>
                      <wp:wrapNone/>
                      <wp:docPr id="30" name="Frame30"/>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8430" cy="175260"/>
                      <wp:effectExtent l="0" t="0" r="0" b="0"/>
                      <wp:wrapNone/>
                      <wp:docPr id="31" name="Frame3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53085" cy="175260"/>
                      <wp:effectExtent l="0" t="0" r="0" b="0"/>
                      <wp:wrapNone/>
                      <wp:docPr id="32" name="Frame3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r>
      <w:tr>
        <w:trPr/>
        <w:tc>
          <w:tcPr>
            <w:tcW w:w="9871" w:type="dxa"/>
            <w:gridSpan w:val="7"/>
            <w:tcBorders/>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Tactile Systems Technology, Inc.</w:t>
            </w:r>
          </w:p>
        </w:tc>
      </w:tr>
      <w:tr>
        <w:trPr/>
        <w:tc>
          <w:tcPr>
            <w:tcW w:w="9871" w:type="dxa"/>
            <w:gridSpan w:val="7"/>
            <w:tcBorders/>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Condensed Consolidated Statements of Cash Flows</w:t>
            </w:r>
          </w:p>
        </w:tc>
      </w:tr>
      <w:tr>
        <w:trPr/>
        <w:tc>
          <w:tcPr>
            <w:tcW w:w="9871" w:type="dxa"/>
            <w:gridSpan w:val="7"/>
            <w:tcBorders/>
            <w:vAlign w:val="center"/>
          </w:tcPr>
          <w:p>
            <w:pPr>
              <w:pStyle w:val="TableContents"/>
              <w:bidi w:val="0"/>
              <w:spacing w:lineRule="auto" w:line="328" w:before="0" w:after="1"/>
              <w:ind w:left="0" w:right="0" w:hanging="0"/>
              <w:jc w:val="center"/>
              <w:rPr>
                <w:rFonts w:ascii="Arial;Helvetica;sans-serif" w:hAnsi="Arial;Helvetica;sans-serif"/>
                <w:sz w:val="18"/>
              </w:rPr>
            </w:pPr>
            <w:r>
              <w:rPr>
                <w:rFonts w:ascii="Arial;Helvetica;sans-serif" w:hAnsi="Arial;Helvetica;sans-serif"/>
                <w:sz w:val="18"/>
              </w:rPr>
              <w:t>(Unaudited)</w:t>
            </w:r>
          </w:p>
        </w:tc>
      </w:tr>
      <w:tr>
        <w:trPr/>
        <w:tc>
          <w:tcPr>
            <w:tcW w:w="703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489" w:type="dxa"/>
            <w:gridSpan w:val="5"/>
            <w:tcBorders/>
            <w:vAlign w:val="center"/>
          </w:tcPr>
          <w:p>
            <w:pPr>
              <w:pStyle w:val="TableContents"/>
              <w:bidi w:val="0"/>
              <w:spacing w:lineRule="auto" w:line="328" w:before="0" w:after="200"/>
              <w:ind w:left="0" w:right="0" w:hanging="0"/>
              <w:jc w:val="center"/>
              <w:rPr/>
            </w:pPr>
            <w:r>
              <w:rPr/>
              <w:t>​</w:t>
            </w:r>
          </w:p>
        </w:tc>
      </w:tr>
      <w:tr>
        <w:trPr/>
        <w:tc>
          <w:tcPr>
            <w:tcW w:w="7036"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Six Months Ended June 30, </w:t>
            </w:r>
          </w:p>
        </w:tc>
      </w:tr>
      <w:tr>
        <w:trPr/>
        <w:tc>
          <w:tcPr>
            <w:tcW w:w="7036"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lineRule="auto" w:line="328" w:before="0" w:after="1"/>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58" w:type="dxa"/>
            <w:tcBorders/>
            <w:vAlign w:val="center"/>
          </w:tcPr>
          <w:p>
            <w:pPr>
              <w:pStyle w:val="TableContents"/>
              <w:bidi w:val="0"/>
              <w:spacing w:lineRule="auto" w:line="328" w:before="0" w:after="1"/>
              <w:ind w:left="0" w:right="0" w:hanging="0"/>
              <w:jc w:val="left"/>
              <w:rPr/>
            </w:pPr>
            <w:r>
              <w:rPr/>
              <w:t>  ​ ​ ​</w:t>
            </w:r>
          </w:p>
        </w:tc>
        <w:tc>
          <w:tcPr>
            <w:tcW w:w="1089"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200"/>
              <w:ind w:left="0" w:right="0" w:hanging="0"/>
              <w:jc w:val="left"/>
              <w:rPr/>
            </w:pPr>
            <w:r>
              <w:rPr/>
              <w:t>​</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200"/>
              <w:ind w:left="0" w:right="0" w:hanging="0"/>
              <w:jc w:val="left"/>
              <w:rPr/>
            </w:pPr>
            <w:r>
              <w:rPr/>
              <w:t>​</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Net income</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6,022</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243</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Adjustments to reconcile net income to net cash provided by operating activities: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200"/>
              <w:ind w:left="0" w:right="0" w:hanging="0"/>
              <w:jc w:val="right"/>
              <w:rPr/>
            </w:pPr>
            <w:r>
              <w:rPr/>
              <w:t>​</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200"/>
              <w:ind w:left="0" w:right="0" w:hanging="0"/>
              <w:jc w:val="right"/>
              <w:rPr>
                <w:color w:val="FF0000"/>
              </w:rPr>
            </w:pPr>
            <w:r>
              <w:rPr>
                <w:color w:val="FF0000"/>
              </w:rPr>
              <w:t>​</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3,450</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3,385</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42</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(22)</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Stock-based compensation expense</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4,040</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4,005</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Loss on disposal of property and equipment and intangibles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73</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68</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Changes in assets and liabilities, net of acquisition:</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200"/>
              <w:ind w:left="0" w:right="0" w:hanging="0"/>
              <w:jc w:val="right"/>
              <w:rPr/>
            </w:pPr>
            <w:r>
              <w:rPr/>
              <w:t>​</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200"/>
              <w:ind w:left="0" w:right="0" w:hanging="0"/>
              <w:jc w:val="right"/>
              <w:rPr/>
            </w:pPr>
            <w:r>
              <w:rPr/>
              <w:t>​</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Accounts receivable, net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755</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11,851</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Net investment in leases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827</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83</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Inventories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(2,820)</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1,555</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Income taxes payable</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(2,245)</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(611)</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Prepaid expenses and other assets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(5,174)</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(4,735)</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Right of use operating lease assets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(351)</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(289)</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2,886</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2,319</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Accrued payroll and related taxes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(3,763)</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(5,245)</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Accrued expenses and other liabilities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(827)</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2,567</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Net cash provided by operating activities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2,915</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15,174</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200"/>
              <w:ind w:left="0" w:right="0" w:hanging="0"/>
              <w:jc w:val="right"/>
              <w:rPr/>
            </w:pPr>
            <w:r>
              <w:rPr/>
              <w:t>​</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200"/>
              <w:ind w:left="0" w:right="0" w:hanging="0"/>
              <w:jc w:val="right"/>
              <w:rPr/>
            </w:pPr>
            <w:r>
              <w:rPr/>
              <w:t>​</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Payments related to acquisition, net of cash acquired</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(6,226)</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pPr>
            <w:r>
              <w:rPr/>
              <w:t>—</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(2,102)</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(748)</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Intangible assets expenditures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(52)</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(56)</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Payment for exclusive distribution agreement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(3,000)</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pPr>
            <w:r>
              <w:rPr/>
              <w:t>—</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(11,380)</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(804)</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200"/>
              <w:ind w:left="0" w:right="0" w:hanging="0"/>
              <w:jc w:val="right"/>
              <w:rPr/>
            </w:pPr>
            <w:r>
              <w:rPr/>
              <w:t>​</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200"/>
              <w:ind w:left="0" w:right="0" w:hanging="0"/>
              <w:jc w:val="right"/>
              <w:rPr/>
            </w:pPr>
            <w:r>
              <w:rPr/>
              <w:t>​</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Payments on note payable</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pPr>
            <w:r>
              <w:rPr/>
              <w:t>—</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(1,500)</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Proceeds from exercise of common stock options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197</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10</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Proceeds from the issuance of common stock from the employee stock purchase plan</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1,032</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843</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Payments for repurchases of common stock</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(6,357)</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(26,562)</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Net cash used in financing activities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(5,128)</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(27,209)</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Net decrease in cash</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(13,593)</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(12,839)</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Cash – beginning of period</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83,446</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94,367</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Cash – end of period</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69,853</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81,528</w:t>
            </w:r>
          </w:p>
        </w:tc>
      </w:tr>
      <w:tr>
        <w:trPr/>
        <w:tc>
          <w:tcPr>
            <w:tcW w:w="7036"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24" w:type="dxa"/>
            <w:tcBorders/>
            <w:vAlign w:val="center"/>
          </w:tcPr>
          <w:p>
            <w:pPr>
              <w:pStyle w:val="TableContents"/>
              <w:bidi w:val="0"/>
              <w:spacing w:lineRule="auto" w:line="328" w:before="0" w:after="200"/>
              <w:ind w:left="0" w:right="0" w:hanging="0"/>
              <w:jc w:val="right"/>
              <w:rPr/>
            </w:pPr>
            <w:r>
              <w:rPr/>
              <w:t>​</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200"/>
              <w:ind w:left="0" w:right="0" w:hanging="0"/>
              <w:jc w:val="left"/>
              <w:rPr/>
            </w:pPr>
            <w:r>
              <w:rPr/>
              <w:t>​</w:t>
            </w:r>
          </w:p>
        </w:tc>
        <w:tc>
          <w:tcPr>
            <w:tcW w:w="871" w:type="dxa"/>
            <w:tcBorders/>
            <w:vAlign w:val="center"/>
          </w:tcPr>
          <w:p>
            <w:pPr>
              <w:pStyle w:val="TableContents"/>
              <w:bidi w:val="0"/>
              <w:spacing w:lineRule="auto" w:line="328" w:before="0" w:after="200"/>
              <w:ind w:left="0" w:right="0" w:hanging="0"/>
              <w:jc w:val="right"/>
              <w:rPr/>
            </w:pPr>
            <w:r>
              <w:rPr/>
              <w:t>​</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18"/>
              </w:rPr>
            </w:pPr>
            <w:r>
              <w:rPr>
                <w:rFonts w:ascii="Arial;Helvetica;sans-serif" w:hAnsi="Arial;Helvetica;sans-serif"/>
                <w:b/>
                <w:sz w:val="18"/>
              </w:rPr>
              <w:t>Supplemental cash flow disclosure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24" w:type="dxa"/>
            <w:tcBorders/>
            <w:shd w:fill="CCEEFF" w:val="clear"/>
            <w:vAlign w:val="center"/>
          </w:tcPr>
          <w:p>
            <w:pPr>
              <w:pStyle w:val="TableContents"/>
              <w:bidi w:val="0"/>
              <w:spacing w:lineRule="auto" w:line="328" w:before="0" w:after="200"/>
              <w:ind w:left="0" w:right="0" w:hanging="0"/>
              <w:jc w:val="right"/>
              <w:rPr/>
            </w:pPr>
            <w:r>
              <w:rPr/>
              <w:t>​</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200"/>
              <w:ind w:left="0" w:right="0" w:hanging="0"/>
              <w:jc w:val="left"/>
              <w:rPr/>
            </w:pPr>
            <w:r>
              <w:rPr/>
              <w:t>​</w:t>
            </w:r>
          </w:p>
        </w:tc>
        <w:tc>
          <w:tcPr>
            <w:tcW w:w="871" w:type="dxa"/>
            <w:tcBorders/>
            <w:shd w:fill="CCEEFF" w:val="clear"/>
            <w:vAlign w:val="center"/>
          </w:tcPr>
          <w:p>
            <w:pPr>
              <w:pStyle w:val="TableContents"/>
              <w:bidi w:val="0"/>
              <w:spacing w:lineRule="auto" w:line="328" w:before="0" w:after="200"/>
              <w:ind w:left="0" w:right="0" w:hanging="0"/>
              <w:jc w:val="right"/>
              <w:rPr/>
            </w:pPr>
            <w:r>
              <w:rPr/>
              <w:t>​</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34</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828</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Cash paid for taxes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2,645</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892</w:t>
            </w:r>
          </w:p>
        </w:tc>
      </w:tr>
      <w:tr>
        <w:trPr/>
        <w:tc>
          <w:tcPr>
            <w:tcW w:w="7036"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Accrued excise tax on stock repurchases</w:t>
            </w:r>
          </w:p>
        </w:tc>
        <w:tc>
          <w:tcPr>
            <w:tcW w:w="346"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lineRule="auto" w:line="328" w:before="0" w:after="1"/>
              <w:ind w:left="0" w:right="0" w:hanging="0"/>
              <w:jc w:val="right"/>
              <w:rPr/>
            </w:pPr>
            <w:r>
              <w:rPr/>
              <w:t>—</w:t>
            </w:r>
          </w:p>
        </w:tc>
        <w:tc>
          <w:tcPr>
            <w:tcW w:w="358" w:type="dxa"/>
            <w:tcBorders/>
            <w:vAlign w:val="center"/>
          </w:tcPr>
          <w:p>
            <w:pPr>
              <w:pStyle w:val="TableContents"/>
              <w:bidi w:val="0"/>
              <w:spacing w:lineRule="auto" w:line="328" w:before="0" w:after="200"/>
              <w:ind w:left="0" w:right="0" w:hanging="0"/>
              <w:jc w:val="left"/>
              <w:rPr/>
            </w:pPr>
            <w:r>
              <w:rPr/>
              <w:t>​</w:t>
            </w:r>
          </w:p>
        </w:tc>
        <w:tc>
          <w:tcPr>
            <w:tcW w:w="218" w:type="dxa"/>
            <w:tcBorders/>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210</w:t>
            </w:r>
          </w:p>
        </w:tc>
      </w:tr>
      <w:tr>
        <w:trPr/>
        <w:tc>
          <w:tcPr>
            <w:tcW w:w="703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Capital expenditures incurred but not yet paid</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18"/>
              </w:rPr>
            </w:pPr>
            <w:r>
              <w:rPr>
                <w:rFonts w:ascii="Arial;Helvetica;sans-serif" w:hAnsi="Arial;Helvetica;sans-serif"/>
                <w:sz w:val="18"/>
              </w:rPr>
              <w:t>147</w:t>
            </w:r>
          </w:p>
        </w:tc>
        <w:tc>
          <w:tcPr>
            <w:tcW w:w="358" w:type="dxa"/>
            <w:tcBorders/>
            <w:shd w:fill="CCEEFF" w:val="clear"/>
            <w:vAlign w:val="center"/>
          </w:tcPr>
          <w:p>
            <w:pPr>
              <w:pStyle w:val="TableContents"/>
              <w:bidi w:val="0"/>
              <w:spacing w:lineRule="auto" w:line="328" w:before="0" w:after="200"/>
              <w:ind w:left="0" w:right="0" w:hanging="0"/>
              <w:jc w:val="left"/>
              <w:rPr/>
            </w:pPr>
            <w:r>
              <w:rPr/>
              <w:t>​</w:t>
            </w:r>
          </w:p>
        </w:tc>
        <w:tc>
          <w:tcPr>
            <w:tcW w:w="218"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shd w:fill="CCEEFF" w:val="clear"/>
            <w:vAlign w:val="center"/>
          </w:tcPr>
          <w:p>
            <w:pPr>
              <w:pStyle w:val="TableContents"/>
              <w:bidi w:val="0"/>
              <w:spacing w:lineRule="auto" w:line="328" w:before="0" w:after="1"/>
              <w:ind w:left="0" w:right="60" w:hanging="0"/>
              <w:jc w:val="right"/>
              <w:rPr>
                <w:rFonts w:ascii="Arial;Helvetica;sans-serif" w:hAnsi="Arial;Helvetica;sans-serif"/>
                <w:sz w:val="18"/>
              </w:rPr>
            </w:pPr>
            <w:r>
              <w:rPr>
                <w:rFonts w:ascii="Arial;Helvetica;sans-serif" w:hAnsi="Arial;Helvetica;sans-serif"/>
                <w:sz w:val="18"/>
              </w:rPr>
              <w:t>58</w:t>
            </w:r>
          </w:p>
        </w:tc>
      </w:tr>
    </w:tbl>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left"/>
        <w:rPr>
          <w:rFonts w:ascii="Arial;Helvetica;sans-serif" w:hAnsi="Arial;Helvetica;sans-serif"/>
          <w:sz w:val="20"/>
        </w:rPr>
      </w:pPr>
      <w:r>
        <w:rPr>
          <w:rFonts w:ascii="Arial;Helvetica;sans-serif" w:hAnsi="Arial;Helvetica;sans-serif"/>
          <w:sz w:val="20"/>
        </w:rPr>
        <w:t>The following table summarizes revenue by product line for the three and six months ended June 30, 2026 and 2025:</w:t>
      </w:r>
    </w:p>
    <w:tbl>
      <w:tblPr>
        <w:tblW w:w="7319" w:type="dxa"/>
        <w:jc w:val="left"/>
        <w:tblInd w:w="0" w:type="dxa"/>
        <w:tblLayout w:type="fixed"/>
        <w:tblCellMar>
          <w:top w:w="0" w:type="dxa"/>
          <w:left w:w="0" w:type="dxa"/>
          <w:bottom w:w="0" w:type="dxa"/>
          <w:right w:w="0" w:type="dxa"/>
        </w:tblCellMar>
      </w:tblPr>
      <w:tblGrid>
        <w:gridCol w:w="2656"/>
        <w:gridCol w:w="346"/>
        <w:gridCol w:w="225"/>
        <w:gridCol w:w="737"/>
        <w:gridCol w:w="116"/>
        <w:gridCol w:w="225"/>
        <w:gridCol w:w="737"/>
        <w:gridCol w:w="109"/>
        <w:gridCol w:w="211"/>
        <w:gridCol w:w="796"/>
        <w:gridCol w:w="109"/>
        <w:gridCol w:w="211"/>
        <w:gridCol w:w="84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86560" cy="175260"/>
                      <wp:effectExtent l="0" t="0" r="0" b="0"/>
                      <wp:wrapNone/>
                      <wp:docPr id="33" name="Frame3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2875" cy="175260"/>
                      <wp:effectExtent l="0" t="0" r="0" b="0"/>
                      <wp:wrapNone/>
                      <wp:docPr id="35" name="Frame3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67995" cy="175260"/>
                      <wp:effectExtent l="0" t="0" r="0" b="0"/>
                      <wp:wrapNone/>
                      <wp:docPr id="36" name="Frame3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3660" cy="175260"/>
                      <wp:effectExtent l="0" t="0" r="0" b="0"/>
                      <wp:wrapNone/>
                      <wp:docPr id="37" name="Frame37"/>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2875" cy="175260"/>
                      <wp:effectExtent l="0" t="0" r="0" b="0"/>
                      <wp:wrapNone/>
                      <wp:docPr id="38" name="Frame3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7995" cy="175260"/>
                      <wp:effectExtent l="0" t="0" r="0" b="0"/>
                      <wp:wrapNone/>
                      <wp:docPr id="39" name="Frame39"/>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4035" cy="175260"/>
                      <wp:effectExtent l="0" t="0" r="0" b="0"/>
                      <wp:wrapNone/>
                      <wp:docPr id="45" name="Frame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040" w:type="dxa"/>
            <w:gridSpan w:val="5"/>
            <w:tcBorders/>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109" w:type="dxa"/>
            <w:tcBorders/>
            <w:vAlign w:val="center"/>
          </w:tcPr>
          <w:p>
            <w:pPr>
              <w:pStyle w:val="TableContents"/>
              <w:bidi w:val="0"/>
              <w:spacing w:lineRule="auto" w:line="328" w:before="0" w:after="200"/>
              <w:ind w:left="0" w:right="0" w:hanging="0"/>
              <w:jc w:val="left"/>
              <w:rPr/>
            </w:pPr>
            <w:r>
              <w:rPr/>
              <w:t>​</w:t>
            </w:r>
          </w:p>
        </w:tc>
        <w:tc>
          <w:tcPr>
            <w:tcW w:w="2168" w:type="dxa"/>
            <w:gridSpan w:val="5"/>
            <w:tcBorders/>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Six Months Ended</w:t>
            </w:r>
          </w:p>
        </w:tc>
      </w:tr>
      <w:tr>
        <w:trPr/>
        <w:tc>
          <w:tcPr>
            <w:tcW w:w="2656"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lineRule="auto" w:line="328" w:before="0" w:after="200"/>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June 30,</w:t>
            </w:r>
          </w:p>
        </w:tc>
      </w:tr>
      <w:tr>
        <w:trPr/>
        <w:tc>
          <w:tcPr>
            <w:tcW w:w="2656"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lineRule="auto" w:line="328" w:before="0"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16" w:type="dxa"/>
            <w:tcBorders/>
            <w:vAlign w:val="center"/>
          </w:tcPr>
          <w:p>
            <w:pPr>
              <w:pStyle w:val="TableContents"/>
              <w:bidi w:val="0"/>
              <w:spacing w:lineRule="auto" w:line="328" w:before="0" w:after="20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lineRule="auto" w:line="328" w:before="0" w:after="20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lineRule="auto" w:line="328" w:before="0" w:after="20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65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b/>
                <w:sz w:val="20"/>
              </w:rPr>
            </w:pPr>
            <w:r>
              <w:rPr>
                <w:rFonts w:ascii="Arial;Helvetica;sans-serif" w:hAnsi="Arial;Helvetica;sans-serif"/>
                <w:b/>
                <w:sz w:val="20"/>
              </w:rPr>
              <w:t>Revenue</w:t>
            </w:r>
          </w:p>
        </w:tc>
        <w:tc>
          <w:tcPr>
            <w:tcW w:w="346" w:type="dxa"/>
            <w:tcBorders/>
            <w:shd w:fill="CCEEFF" w:val="clear"/>
            <w:vAlign w:val="center"/>
          </w:tcPr>
          <w:p>
            <w:pPr>
              <w:pStyle w:val="TableContents"/>
              <w:bidi w:val="0"/>
              <w:spacing w:lineRule="auto" w:line="328" w:before="0" w:after="200"/>
              <w:ind w:left="0" w:right="0" w:hanging="0"/>
              <w:jc w:val="center"/>
              <w:rPr/>
            </w:pPr>
            <w:r>
              <w:rPr/>
              <w:t>​</w:t>
            </w:r>
          </w:p>
        </w:tc>
        <w:tc>
          <w:tcPr>
            <w:tcW w:w="225" w:type="dxa"/>
            <w:tcBorders/>
            <w:shd w:fill="CCEEFF" w:val="clear"/>
            <w:vAlign w:val="center"/>
          </w:tcPr>
          <w:p>
            <w:pPr>
              <w:pStyle w:val="TableContents"/>
              <w:bidi w:val="0"/>
              <w:spacing w:lineRule="auto" w:line="328" w:before="0" w:after="200"/>
              <w:ind w:left="0" w:right="0" w:hanging="0"/>
              <w:jc w:val="center"/>
              <w:rPr/>
            </w:pPr>
            <w:r>
              <w:rPr/>
              <w:t>​</w:t>
            </w:r>
          </w:p>
        </w:tc>
        <w:tc>
          <w:tcPr>
            <w:tcW w:w="737" w:type="dxa"/>
            <w:tcBorders/>
            <w:shd w:fill="CCEEFF" w:val="clear"/>
            <w:vAlign w:val="center"/>
          </w:tcPr>
          <w:p>
            <w:pPr>
              <w:pStyle w:val="TableContents"/>
              <w:bidi w:val="0"/>
              <w:spacing w:lineRule="auto" w:line="328" w:before="0" w:after="200"/>
              <w:ind w:left="0" w:right="0" w:hanging="0"/>
              <w:jc w:val="center"/>
              <w:rPr/>
            </w:pPr>
            <w:r>
              <w:rPr/>
              <w:t>​</w:t>
            </w:r>
          </w:p>
        </w:tc>
        <w:tc>
          <w:tcPr>
            <w:tcW w:w="11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shd w:fill="CCEEFF" w:val="clear"/>
            <w:vAlign w:val="center"/>
          </w:tcPr>
          <w:p>
            <w:pPr>
              <w:pStyle w:val="TableContents"/>
              <w:bidi w:val="0"/>
              <w:spacing w:lineRule="auto" w:line="328" w:before="0" w:after="200"/>
              <w:ind w:left="0" w:right="0" w:hanging="0"/>
              <w:jc w:val="center"/>
              <w:rPr/>
            </w:pPr>
            <w:r>
              <w:rPr/>
              <w:t>​</w:t>
            </w:r>
          </w:p>
        </w:tc>
        <w:tc>
          <w:tcPr>
            <w:tcW w:w="737" w:type="dxa"/>
            <w:tcBorders/>
            <w:shd w:fill="CCEEFF" w:val="clear"/>
            <w:vAlign w:val="center"/>
          </w:tcPr>
          <w:p>
            <w:pPr>
              <w:pStyle w:val="TableContents"/>
              <w:bidi w:val="0"/>
              <w:spacing w:lineRule="auto" w:line="328" w:before="0" w:after="200"/>
              <w:ind w:left="0" w:right="0" w:hanging="0"/>
              <w:jc w:val="center"/>
              <w:rPr/>
            </w:pPr>
            <w:r>
              <w:rPr/>
              <w:t>​</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center"/>
              <w:rPr/>
            </w:pPr>
            <w:r>
              <w:rPr/>
              <w:t>​</w:t>
            </w:r>
          </w:p>
        </w:tc>
        <w:tc>
          <w:tcPr>
            <w:tcW w:w="796" w:type="dxa"/>
            <w:tcBorders/>
            <w:shd w:fill="CCEEFF" w:val="clear"/>
            <w:vAlign w:val="center"/>
          </w:tcPr>
          <w:p>
            <w:pPr>
              <w:pStyle w:val="TableContents"/>
              <w:bidi w:val="0"/>
              <w:spacing w:lineRule="auto" w:line="328" w:before="0" w:after="200"/>
              <w:ind w:left="0" w:right="0" w:hanging="0"/>
              <w:jc w:val="center"/>
              <w:rPr/>
            </w:pPr>
            <w:r>
              <w:rPr/>
              <w:t>​</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center"/>
              <w:rPr/>
            </w:pPr>
            <w:r>
              <w:rPr/>
              <w:t>​</w:t>
            </w:r>
          </w:p>
        </w:tc>
        <w:tc>
          <w:tcPr>
            <w:tcW w:w="841" w:type="dxa"/>
            <w:tcBorders/>
            <w:shd w:fill="CCEEFF" w:val="clear"/>
            <w:vAlign w:val="center"/>
          </w:tcPr>
          <w:p>
            <w:pPr>
              <w:pStyle w:val="TableContents"/>
              <w:bidi w:val="0"/>
              <w:spacing w:lineRule="auto" w:line="328" w:before="0" w:after="200"/>
              <w:ind w:left="0" w:right="0" w:hanging="0"/>
              <w:jc w:val="center"/>
              <w:rPr/>
            </w:pPr>
            <w:r>
              <w:rPr/>
              <w:t>​</w:t>
            </w:r>
          </w:p>
        </w:tc>
      </w:tr>
      <w:tr>
        <w:trPr/>
        <w:tc>
          <w:tcPr>
            <w:tcW w:w="2656" w:type="dxa"/>
            <w:tcBorders/>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vAlign w:val="center"/>
          </w:tcPr>
          <w:p>
            <w:pPr>
              <w:pStyle w:val="TableContents"/>
              <w:bidi w:val="0"/>
              <w:spacing w:lineRule="auto" w:line="328" w:before="0" w:after="200"/>
              <w:ind w:left="0" w:right="0" w:hanging="0"/>
              <w:jc w:val="left"/>
              <w:rPr/>
            </w:pPr>
            <w:r>
              <w:rPr/>
              <w:t>​</w:t>
            </w:r>
          </w:p>
        </w:tc>
        <w:tc>
          <w:tcPr>
            <w:tcW w:w="225" w:type="dxa"/>
            <w:tcBorders/>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73,630</w:t>
            </w:r>
          </w:p>
        </w:tc>
        <w:tc>
          <w:tcPr>
            <w:tcW w:w="116" w:type="dxa"/>
            <w:tcBorders/>
            <w:vAlign w:val="center"/>
          </w:tcPr>
          <w:p>
            <w:pPr>
              <w:pStyle w:val="TableContents"/>
              <w:bidi w:val="0"/>
              <w:spacing w:lineRule="auto" w:line="328" w:before="0" w:after="200"/>
              <w:ind w:left="0" w:right="0" w:hanging="0"/>
              <w:jc w:val="left"/>
              <w:rPr/>
            </w:pPr>
            <w:r>
              <w:rPr/>
              <w:t>​</w:t>
            </w:r>
          </w:p>
        </w:tc>
        <w:tc>
          <w:tcPr>
            <w:tcW w:w="225" w:type="dxa"/>
            <w:tcBorders/>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65,969</w:t>
            </w:r>
          </w:p>
        </w:tc>
        <w:tc>
          <w:tcPr>
            <w:tcW w:w="109"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135,851</w:t>
            </w:r>
          </w:p>
        </w:tc>
        <w:tc>
          <w:tcPr>
            <w:tcW w:w="109"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116,524</w:t>
            </w:r>
          </w:p>
        </w:tc>
      </w:tr>
      <w:tr>
        <w:trPr/>
        <w:tc>
          <w:tcPr>
            <w:tcW w:w="265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12,068</w:t>
            </w:r>
          </w:p>
        </w:tc>
        <w:tc>
          <w:tcPr>
            <w:tcW w:w="11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12,936</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25,114</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8" w:before="0" w:after="20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23,649</w:t>
            </w:r>
          </w:p>
        </w:tc>
      </w:tr>
      <w:tr>
        <w:trPr/>
        <w:tc>
          <w:tcPr>
            <w:tcW w:w="2656" w:type="dxa"/>
            <w:tcBorders/>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lineRule="auto" w:line="328" w:before="0" w:after="20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85,698</w:t>
            </w:r>
          </w:p>
        </w:tc>
        <w:tc>
          <w:tcPr>
            <w:tcW w:w="116" w:type="dxa"/>
            <w:tcBorders/>
            <w:vAlign w:val="center"/>
          </w:tcPr>
          <w:p>
            <w:pPr>
              <w:pStyle w:val="TableContents"/>
              <w:bidi w:val="0"/>
              <w:spacing w:lineRule="auto" w:line="328" w:before="0" w:after="20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78,905</w:t>
            </w:r>
          </w:p>
        </w:tc>
        <w:tc>
          <w:tcPr>
            <w:tcW w:w="109" w:type="dxa"/>
            <w:tcBorders/>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160,965</w:t>
            </w:r>
          </w:p>
        </w:tc>
        <w:tc>
          <w:tcPr>
            <w:tcW w:w="109" w:type="dxa"/>
            <w:tcBorders/>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140,173</w:t>
            </w:r>
          </w:p>
        </w:tc>
      </w:tr>
      <w:tr>
        <w:trPr/>
        <w:tc>
          <w:tcPr>
            <w:tcW w:w="2656" w:type="dxa"/>
            <w:tcBorders/>
            <w:shd w:fill="CCEEFF" w:val="clear"/>
            <w:vAlign w:val="center"/>
          </w:tcPr>
          <w:p>
            <w:pPr>
              <w:pStyle w:val="TableContents"/>
              <w:bidi w:val="0"/>
              <w:spacing w:lineRule="auto" w:line="328" w:before="0" w:after="200"/>
              <w:ind w:left="0" w:right="0" w:hanging="0"/>
              <w:jc w:val="lef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shd w:fill="CCEEFF" w:val="clear"/>
            <w:vAlign w:val="center"/>
          </w:tcPr>
          <w:p>
            <w:pPr>
              <w:pStyle w:val="TableContents"/>
              <w:bidi w:val="0"/>
              <w:spacing w:lineRule="auto" w:line="328" w:before="0" w:after="200"/>
              <w:ind w:left="0" w:right="0" w:hanging="0"/>
              <w:jc w:val="left"/>
              <w:rPr/>
            </w:pPr>
            <w:r>
              <w:rPr/>
              <w:t>​</w:t>
            </w:r>
          </w:p>
        </w:tc>
        <w:tc>
          <w:tcPr>
            <w:tcW w:w="737" w:type="dxa"/>
            <w:tcBorders/>
            <w:shd w:fill="CCEEFF" w:val="clear"/>
            <w:vAlign w:val="center"/>
          </w:tcPr>
          <w:p>
            <w:pPr>
              <w:pStyle w:val="TableContents"/>
              <w:bidi w:val="0"/>
              <w:spacing w:lineRule="auto" w:line="328" w:before="0" w:after="200"/>
              <w:ind w:left="0" w:right="0" w:hanging="0"/>
              <w:jc w:val="left"/>
              <w:rPr/>
            </w:pPr>
            <w:r>
              <w:rPr/>
              <w:t>​</w:t>
            </w:r>
          </w:p>
        </w:tc>
        <w:tc>
          <w:tcPr>
            <w:tcW w:w="11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shd w:fill="CCEEFF" w:val="clear"/>
            <w:vAlign w:val="center"/>
          </w:tcPr>
          <w:p>
            <w:pPr>
              <w:pStyle w:val="TableContents"/>
              <w:bidi w:val="0"/>
              <w:spacing w:lineRule="auto" w:line="328" w:before="0" w:after="200"/>
              <w:ind w:left="0" w:right="0" w:hanging="0"/>
              <w:jc w:val="left"/>
              <w:rPr/>
            </w:pPr>
            <w:r>
              <w:rPr/>
              <w:t>​</w:t>
            </w:r>
          </w:p>
        </w:tc>
        <w:tc>
          <w:tcPr>
            <w:tcW w:w="737" w:type="dxa"/>
            <w:tcBorders/>
            <w:shd w:fill="CCEEFF" w:val="clear"/>
            <w:vAlign w:val="center"/>
          </w:tcPr>
          <w:p>
            <w:pPr>
              <w:pStyle w:val="TableContents"/>
              <w:bidi w:val="0"/>
              <w:spacing w:lineRule="auto" w:line="328" w:before="0" w:after="200"/>
              <w:ind w:left="0" w:right="0" w:hanging="0"/>
              <w:jc w:val="left"/>
              <w:rPr/>
            </w:pPr>
            <w:r>
              <w:rPr/>
              <w:t>​</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796" w:type="dxa"/>
            <w:tcBorders/>
            <w:shd w:fill="CCEEFF" w:val="clear"/>
            <w:vAlign w:val="center"/>
          </w:tcPr>
          <w:p>
            <w:pPr>
              <w:pStyle w:val="TableContents"/>
              <w:bidi w:val="0"/>
              <w:spacing w:lineRule="auto" w:line="328" w:before="0" w:after="200"/>
              <w:ind w:left="0" w:right="0" w:hanging="0"/>
              <w:jc w:val="left"/>
              <w:rPr/>
            </w:pPr>
            <w:r>
              <w:rPr/>
              <w:t>​</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841" w:type="dxa"/>
            <w:tcBorders/>
            <w:shd w:fill="CCEEFF" w:val="clear"/>
            <w:vAlign w:val="center"/>
          </w:tcPr>
          <w:p>
            <w:pPr>
              <w:pStyle w:val="TableContents"/>
              <w:bidi w:val="0"/>
              <w:spacing w:lineRule="auto" w:line="328" w:before="0" w:after="200"/>
              <w:ind w:left="0" w:right="0" w:hanging="0"/>
              <w:jc w:val="left"/>
              <w:rPr/>
            </w:pPr>
            <w:r>
              <w:rPr/>
              <w:t>​</w:t>
            </w:r>
          </w:p>
        </w:tc>
      </w:tr>
      <w:tr>
        <w:trPr/>
        <w:tc>
          <w:tcPr>
            <w:tcW w:w="2656" w:type="dxa"/>
            <w:tcBorders/>
            <w:vAlign w:val="center"/>
          </w:tcPr>
          <w:p>
            <w:pPr>
              <w:pStyle w:val="TableContents"/>
              <w:bidi w:val="0"/>
              <w:spacing w:lineRule="auto" w:line="328" w:before="0" w:after="1"/>
              <w:ind w:left="0" w:right="0" w:hanging="0"/>
              <w:jc w:val="left"/>
              <w:rPr>
                <w:rFonts w:ascii="Arial;Helvetica;sans-serif" w:hAnsi="Arial;Helvetica;sans-serif"/>
                <w:b/>
                <w:sz w:val="20"/>
              </w:rPr>
            </w:pPr>
            <w:r>
              <w:rPr>
                <w:rFonts w:ascii="Arial;Helvetica;sans-serif" w:hAnsi="Arial;Helvetica;sans-serif"/>
                <w:b/>
                <w:sz w:val="20"/>
              </w:rPr>
              <w:t>Percentage of total revenue</w:t>
            </w:r>
          </w:p>
        </w:tc>
        <w:tc>
          <w:tcPr>
            <w:tcW w:w="346" w:type="dxa"/>
            <w:tcBorders/>
            <w:vAlign w:val="center"/>
          </w:tcPr>
          <w:p>
            <w:pPr>
              <w:pStyle w:val="TableContents"/>
              <w:bidi w:val="0"/>
              <w:spacing w:lineRule="auto" w:line="328" w:before="0" w:after="200"/>
              <w:ind w:left="0" w:right="0" w:hanging="0"/>
              <w:jc w:val="left"/>
              <w:rPr/>
            </w:pPr>
            <w:r>
              <w:rPr/>
              <w:t>​</w:t>
            </w:r>
          </w:p>
        </w:tc>
        <w:tc>
          <w:tcPr>
            <w:tcW w:w="225" w:type="dxa"/>
            <w:tcBorders/>
            <w:vAlign w:val="center"/>
          </w:tcPr>
          <w:p>
            <w:pPr>
              <w:pStyle w:val="TableContents"/>
              <w:bidi w:val="0"/>
              <w:spacing w:lineRule="auto" w:line="328" w:before="0" w:after="200"/>
              <w:ind w:left="0" w:right="0" w:hanging="0"/>
              <w:jc w:val="center"/>
              <w:rPr/>
            </w:pPr>
            <w:r>
              <w:rPr/>
              <w:t>​</w:t>
            </w:r>
          </w:p>
        </w:tc>
        <w:tc>
          <w:tcPr>
            <w:tcW w:w="737" w:type="dxa"/>
            <w:tcBorders/>
            <w:vAlign w:val="center"/>
          </w:tcPr>
          <w:p>
            <w:pPr>
              <w:pStyle w:val="TableContents"/>
              <w:bidi w:val="0"/>
              <w:spacing w:lineRule="auto" w:line="328" w:before="0" w:after="200"/>
              <w:ind w:left="0" w:right="0" w:hanging="0"/>
              <w:jc w:val="center"/>
              <w:rPr/>
            </w:pPr>
            <w:r>
              <w:rPr/>
              <w:t>​</w:t>
            </w:r>
          </w:p>
        </w:tc>
        <w:tc>
          <w:tcPr>
            <w:tcW w:w="116" w:type="dxa"/>
            <w:tcBorders/>
            <w:vAlign w:val="center"/>
          </w:tcPr>
          <w:p>
            <w:pPr>
              <w:pStyle w:val="TableContents"/>
              <w:bidi w:val="0"/>
              <w:spacing w:lineRule="auto" w:line="328" w:before="0" w:after="200"/>
              <w:ind w:left="0" w:right="0" w:hanging="0"/>
              <w:jc w:val="center"/>
              <w:rPr/>
            </w:pPr>
            <w:r>
              <w:rPr/>
              <w:t>​</w:t>
            </w:r>
          </w:p>
        </w:tc>
        <w:tc>
          <w:tcPr>
            <w:tcW w:w="225" w:type="dxa"/>
            <w:tcBorders/>
            <w:vAlign w:val="center"/>
          </w:tcPr>
          <w:p>
            <w:pPr>
              <w:pStyle w:val="TableContents"/>
              <w:bidi w:val="0"/>
              <w:spacing w:lineRule="auto" w:line="328" w:before="0" w:after="200"/>
              <w:ind w:left="0" w:right="0" w:hanging="0"/>
              <w:jc w:val="center"/>
              <w:rPr/>
            </w:pPr>
            <w:r>
              <w:rPr/>
              <w:t>​</w:t>
            </w:r>
          </w:p>
        </w:tc>
        <w:tc>
          <w:tcPr>
            <w:tcW w:w="737" w:type="dxa"/>
            <w:tcBorders/>
            <w:vAlign w:val="center"/>
          </w:tcPr>
          <w:p>
            <w:pPr>
              <w:pStyle w:val="TableContents"/>
              <w:bidi w:val="0"/>
              <w:spacing w:lineRule="auto" w:line="328" w:before="0" w:after="200"/>
              <w:ind w:left="0" w:right="0" w:hanging="0"/>
              <w:jc w:val="center"/>
              <w:rPr/>
            </w:pPr>
            <w:r>
              <w:rPr/>
              <w:t>​</w:t>
            </w:r>
          </w:p>
        </w:tc>
        <w:tc>
          <w:tcPr>
            <w:tcW w:w="109"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796" w:type="dxa"/>
            <w:tcBorders/>
            <w:vAlign w:val="center"/>
          </w:tcPr>
          <w:p>
            <w:pPr>
              <w:pStyle w:val="TableContents"/>
              <w:bidi w:val="0"/>
              <w:spacing w:lineRule="auto" w:line="328" w:before="0" w:after="200"/>
              <w:ind w:left="0" w:right="0" w:hanging="0"/>
              <w:jc w:val="center"/>
              <w:rPr/>
            </w:pPr>
            <w:r>
              <w:rPr/>
              <w:t>​</w:t>
            </w:r>
          </w:p>
        </w:tc>
        <w:tc>
          <w:tcPr>
            <w:tcW w:w="109"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841" w:type="dxa"/>
            <w:tcBorders/>
            <w:vAlign w:val="center"/>
          </w:tcPr>
          <w:p>
            <w:pPr>
              <w:pStyle w:val="TableContents"/>
              <w:bidi w:val="0"/>
              <w:spacing w:lineRule="auto" w:line="328" w:before="0" w:after="200"/>
              <w:ind w:left="0" w:right="0" w:hanging="0"/>
              <w:jc w:val="center"/>
              <w:rPr/>
            </w:pPr>
            <w:r>
              <w:rPr/>
              <w:t>​</w:t>
            </w:r>
          </w:p>
        </w:tc>
      </w:tr>
      <w:tr>
        <w:trPr/>
        <w:tc>
          <w:tcPr>
            <w:tcW w:w="265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shd w:fill="CCEEFF" w:val="clear"/>
            <w:vAlign w:val="center"/>
          </w:tcPr>
          <w:p>
            <w:pPr>
              <w:pStyle w:val="TableContents"/>
              <w:bidi w:val="0"/>
              <w:spacing w:lineRule="auto" w:line="328" w:before="0" w:after="1"/>
              <w:ind w:left="0" w:right="0" w:hanging="0"/>
              <w:jc w:val="left"/>
              <w:rPr/>
            </w:pPr>
            <w:r>
              <w:rPr/>
              <w:t> </w:t>
            </w:r>
          </w:p>
        </w:tc>
        <w:tc>
          <w:tcPr>
            <w:tcW w:w="737"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86%</w:t>
            </w:r>
          </w:p>
        </w:tc>
        <w:tc>
          <w:tcPr>
            <w:tcW w:w="11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shd w:fill="CCEEFF" w:val="clear"/>
            <w:vAlign w:val="center"/>
          </w:tcPr>
          <w:p>
            <w:pPr>
              <w:pStyle w:val="TableContents"/>
              <w:bidi w:val="0"/>
              <w:spacing w:lineRule="auto" w:line="328" w:before="0" w:after="1"/>
              <w:ind w:left="0" w:right="0" w:hanging="0"/>
              <w:jc w:val="left"/>
              <w:rPr/>
            </w:pPr>
            <w:r>
              <w:rPr/>
              <w:t> </w:t>
            </w:r>
          </w:p>
        </w:tc>
        <w:tc>
          <w:tcPr>
            <w:tcW w:w="737"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796"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1"/>
              <w:ind w:left="0" w:right="0" w:hanging="0"/>
              <w:jc w:val="left"/>
              <w:rPr/>
            </w:pPr>
            <w:r>
              <w:rPr/>
              <w:t> </w:t>
            </w:r>
          </w:p>
        </w:tc>
        <w:tc>
          <w:tcPr>
            <w:tcW w:w="841" w:type="dxa"/>
            <w:tcBorders/>
            <w:shd w:fill="CCEEFF" w:val="cle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83%</w:t>
            </w:r>
          </w:p>
        </w:tc>
      </w:tr>
      <w:tr>
        <w:trPr/>
        <w:tc>
          <w:tcPr>
            <w:tcW w:w="2656" w:type="dxa"/>
            <w:tcBorders/>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vAlign w:val="center"/>
          </w:tcPr>
          <w:p>
            <w:pPr>
              <w:pStyle w:val="TableContents"/>
              <w:bidi w:val="0"/>
              <w:spacing w:lineRule="auto" w:line="328" w:before="0" w:after="20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116" w:type="dxa"/>
            <w:tcBorders/>
            <w:vAlign w:val="center"/>
          </w:tcPr>
          <w:p>
            <w:pPr>
              <w:pStyle w:val="TableContents"/>
              <w:bidi w:val="0"/>
              <w:spacing w:lineRule="auto" w:line="328" w:before="0" w:after="20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17%</w:t>
            </w:r>
          </w:p>
        </w:tc>
      </w:tr>
      <w:tr>
        <w:trPr/>
        <w:tc>
          <w:tcPr>
            <w:tcW w:w="2656" w:type="dxa"/>
            <w:tcBorders/>
            <w:shd w:fill="CCEEFF" w:val="clear"/>
            <w:vAlign w:val="center"/>
          </w:tcPr>
          <w:p>
            <w:pPr>
              <w:pStyle w:val="TableContents"/>
              <w:bidi w:val="0"/>
              <w:spacing w:lineRule="auto" w:line="328"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116" w:type="dxa"/>
            <w:tcBorders/>
            <w:shd w:fill="CCEEFF" w:val="clear"/>
            <w:vAlign w:val="center"/>
          </w:tcPr>
          <w:p>
            <w:pPr>
              <w:pStyle w:val="TableContents"/>
              <w:bidi w:val="0"/>
              <w:spacing w:lineRule="auto" w:line="328" w:before="0" w:after="20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109"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lineRule="auto" w:line="328" w:before="0" w:after="1"/>
              <w:ind w:left="0" w:right="60" w:hanging="0"/>
              <w:jc w:val="right"/>
              <w:rPr>
                <w:rFonts w:ascii="Arial;Helvetica;sans-serif" w:hAnsi="Arial;Helvetica;sans-serif"/>
                <w:sz w:val="20"/>
              </w:rPr>
            </w:pPr>
            <w:r>
              <w:rPr>
                <w:rFonts w:ascii="Arial;Helvetica;sans-serif" w:hAnsi="Arial;Helvetica;sans-serif"/>
                <w:sz w:val="20"/>
              </w:rPr>
              <w:t>100%</w:t>
            </w:r>
          </w:p>
        </w:tc>
      </w:tr>
    </w:tbl>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rFonts w:ascii="Arial;Helvetica;sans-serif" w:hAnsi="Arial;Helvetica;sans-serif"/>
          <w:sz w:val="20"/>
        </w:rPr>
      </w:pPr>
      <w:r>
        <w:rPr>
          <w:rFonts w:ascii="Arial;Helvetica;sans-serif" w:hAnsi="Arial;Helvetica;sans-serif"/>
          <w:sz w:val="20"/>
        </w:rPr>
        <w:t>The following table contains a reconciliation of net income to Adjusted EBITDA for the three and six months ended June 30, 2026 and 2025, as well as the dollar and percentage change between the comparable periods:</w:t>
      </w:r>
    </w:p>
    <w:tbl>
      <w:tblPr>
        <w:tblW w:w="10543" w:type="dxa"/>
        <w:jc w:val="left"/>
        <w:tblInd w:w="0" w:type="dxa"/>
        <w:tblLayout w:type="fixed"/>
        <w:tblCellMar>
          <w:top w:w="0" w:type="dxa"/>
          <w:left w:w="0" w:type="dxa"/>
          <w:bottom w:w="0" w:type="dxa"/>
          <w:right w:w="0" w:type="dxa"/>
        </w:tblCellMar>
      </w:tblPr>
      <w:tblGrid>
        <w:gridCol w:w="1501"/>
        <w:gridCol w:w="346"/>
        <w:gridCol w:w="211"/>
        <w:gridCol w:w="676"/>
        <w:gridCol w:w="346"/>
        <w:gridCol w:w="211"/>
        <w:gridCol w:w="571"/>
        <w:gridCol w:w="346"/>
        <w:gridCol w:w="211"/>
        <w:gridCol w:w="631"/>
        <w:gridCol w:w="346"/>
        <w:gridCol w:w="481"/>
        <w:gridCol w:w="271"/>
        <w:gridCol w:w="346"/>
        <w:gridCol w:w="211"/>
        <w:gridCol w:w="676"/>
        <w:gridCol w:w="346"/>
        <w:gridCol w:w="211"/>
        <w:gridCol w:w="571"/>
        <w:gridCol w:w="109"/>
        <w:gridCol w:w="211"/>
        <w:gridCol w:w="571"/>
        <w:gridCol w:w="346"/>
        <w:gridCol w:w="481"/>
        <w:gridCol w:w="316"/>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53135" cy="175260"/>
                      <wp:effectExtent l="0" t="0" r="0" b="0"/>
                      <wp:wrapNone/>
                      <wp:docPr id="46" name="Frame4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29260" cy="175260"/>
                      <wp:effectExtent l="0" t="0" r="0" b="0"/>
                      <wp:wrapNone/>
                      <wp:docPr id="49" name="Frame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62585" cy="175260"/>
                      <wp:effectExtent l="0" t="0" r="0" b="0"/>
                      <wp:wrapNone/>
                      <wp:docPr id="52" name="Frame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00685" cy="175260"/>
                      <wp:effectExtent l="0" t="0" r="0" b="0"/>
                      <wp:wrapNone/>
                      <wp:docPr id="55" name="Frame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05435" cy="175260"/>
                      <wp:effectExtent l="0" t="0" r="0" b="0"/>
                      <wp:wrapNone/>
                      <wp:docPr id="57" name="Frame5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2085" cy="175260"/>
                      <wp:effectExtent l="0" t="0" r="0" b="0"/>
                      <wp:wrapNone/>
                      <wp:docPr id="58" name="Frame5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62585" cy="175260"/>
                      <wp:effectExtent l="0" t="0" r="0" b="0"/>
                      <wp:wrapNone/>
                      <wp:docPr id="64" name="Frame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62585" cy="175260"/>
                      <wp:effectExtent l="0" t="0" r="0" b="0"/>
                      <wp:wrapNone/>
                      <wp:docPr id="67" name="Frame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05435" cy="175260"/>
                      <wp:effectExtent l="0" t="0" r="0" b="0"/>
                      <wp:wrapNone/>
                      <wp:docPr id="69" name="Frame6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0660" cy="175260"/>
                      <wp:effectExtent l="0" t="0" r="0" b="0"/>
                      <wp:wrapNone/>
                      <wp:docPr id="70" name="Frame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r>
      <w:tr>
        <w:trPr/>
        <w:tc>
          <w:tcPr>
            <w:tcW w:w="10543" w:type="dxa"/>
            <w:gridSpan w:val="25"/>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Tactile Systems Technology, Inc.</w:t>
            </w:r>
          </w:p>
        </w:tc>
      </w:tr>
      <w:tr>
        <w:trPr/>
        <w:tc>
          <w:tcPr>
            <w:tcW w:w="10543" w:type="dxa"/>
            <w:gridSpan w:val="25"/>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Reconciliation of Net Income to Non-GAAP Adjusted EBITDA</w:t>
            </w:r>
          </w:p>
        </w:tc>
      </w:tr>
      <w:tr>
        <w:trPr/>
        <w:tc>
          <w:tcPr>
            <w:tcW w:w="10543" w:type="dxa"/>
            <w:gridSpan w:val="25"/>
            <w:tcBorders/>
            <w:vAlign w:val="center"/>
          </w:tcPr>
          <w:p>
            <w:pPr>
              <w:pStyle w:val="TableContents"/>
              <w:bidi w:val="0"/>
              <w:spacing w:lineRule="auto" w:line="328" w:before="1" w:after="1"/>
              <w:ind w:left="0" w:right="0" w:hanging="0"/>
              <w:jc w:val="center"/>
              <w:rPr>
                <w:rFonts w:ascii="Arial;Helvetica;sans-serif" w:hAnsi="Arial;Helvetica;sans-serif"/>
                <w:sz w:val="18"/>
              </w:rPr>
            </w:pPr>
            <w:r>
              <w:rPr>
                <w:rFonts w:ascii="Arial;Helvetica;sans-serif" w:hAnsi="Arial;Helvetica;sans-serif"/>
                <w:sz w:val="18"/>
              </w:rPr>
              <w:t>(Unaudited)</w:t>
            </w:r>
          </w:p>
        </w:tc>
      </w:tr>
      <w:tr>
        <w:trPr/>
        <w:tc>
          <w:tcPr>
            <w:tcW w:w="1501"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67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571"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631"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481" w:type="dxa"/>
            <w:tcBorders/>
            <w:vAlign w:val="center"/>
          </w:tcPr>
          <w:p>
            <w:pPr>
              <w:pStyle w:val="TableContents"/>
              <w:bidi w:val="0"/>
              <w:spacing w:lineRule="auto" w:line="328" w:before="0" w:after="200"/>
              <w:ind w:left="0" w:right="0" w:hanging="0"/>
              <w:jc w:val="center"/>
              <w:rPr/>
            </w:pPr>
            <w:r>
              <w:rPr/>
              <w:t>​</w:t>
            </w:r>
          </w:p>
        </w:tc>
        <w:tc>
          <w:tcPr>
            <w:tcW w:w="271"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676"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571" w:type="dxa"/>
            <w:tcBorders/>
            <w:vAlign w:val="center"/>
          </w:tcPr>
          <w:p>
            <w:pPr>
              <w:pStyle w:val="TableContents"/>
              <w:bidi w:val="0"/>
              <w:spacing w:lineRule="auto" w:line="328" w:before="0" w:after="200"/>
              <w:ind w:left="0" w:right="0" w:hanging="0"/>
              <w:jc w:val="center"/>
              <w:rPr/>
            </w:pPr>
            <w:r>
              <w:rPr/>
              <w:t>​</w:t>
            </w:r>
          </w:p>
        </w:tc>
        <w:tc>
          <w:tcPr>
            <w:tcW w:w="109" w:type="dxa"/>
            <w:tcBorders/>
            <w:vAlign w:val="center"/>
          </w:tcPr>
          <w:p>
            <w:pPr>
              <w:pStyle w:val="TableContents"/>
              <w:bidi w:val="0"/>
              <w:spacing w:lineRule="auto" w:line="328" w:before="0" w:after="200"/>
              <w:ind w:left="0" w:right="0" w:hanging="0"/>
              <w:jc w:val="center"/>
              <w:rPr/>
            </w:pPr>
            <w:r>
              <w:rPr/>
              <w:t>​</w:t>
            </w:r>
          </w:p>
        </w:tc>
        <w:tc>
          <w:tcPr>
            <w:tcW w:w="211" w:type="dxa"/>
            <w:tcBorders/>
            <w:vAlign w:val="center"/>
          </w:tcPr>
          <w:p>
            <w:pPr>
              <w:pStyle w:val="TableContents"/>
              <w:bidi w:val="0"/>
              <w:spacing w:lineRule="auto" w:line="328" w:before="0" w:after="200"/>
              <w:ind w:left="0" w:right="0" w:hanging="0"/>
              <w:jc w:val="center"/>
              <w:rPr/>
            </w:pPr>
            <w:r>
              <w:rPr/>
              <w:t>​</w:t>
            </w:r>
          </w:p>
        </w:tc>
        <w:tc>
          <w:tcPr>
            <w:tcW w:w="571" w:type="dxa"/>
            <w:tcBorders/>
            <w:vAlign w:val="center"/>
          </w:tcPr>
          <w:p>
            <w:pPr>
              <w:pStyle w:val="TableContents"/>
              <w:bidi w:val="0"/>
              <w:spacing w:lineRule="auto" w:line="328" w:before="0" w:after="200"/>
              <w:ind w:left="0" w:right="0" w:hanging="0"/>
              <w:jc w:val="center"/>
              <w:rPr/>
            </w:pPr>
            <w:r>
              <w:rPr/>
              <w:t>​</w:t>
            </w:r>
          </w:p>
        </w:tc>
        <w:tc>
          <w:tcPr>
            <w:tcW w:w="346" w:type="dxa"/>
            <w:tcBorders/>
            <w:vAlign w:val="center"/>
          </w:tcPr>
          <w:p>
            <w:pPr>
              <w:pStyle w:val="TableContents"/>
              <w:bidi w:val="0"/>
              <w:spacing w:lineRule="auto" w:line="328" w:before="0" w:after="200"/>
              <w:ind w:left="0" w:right="0" w:hanging="0"/>
              <w:jc w:val="center"/>
              <w:rPr/>
            </w:pPr>
            <w:r>
              <w:rPr/>
              <w:t>​</w:t>
            </w:r>
          </w:p>
        </w:tc>
        <w:tc>
          <w:tcPr>
            <w:tcW w:w="481" w:type="dxa"/>
            <w:tcBorders/>
            <w:vAlign w:val="center"/>
          </w:tcPr>
          <w:p>
            <w:pPr>
              <w:pStyle w:val="TableContents"/>
              <w:bidi w:val="0"/>
              <w:spacing w:lineRule="auto" w:line="328" w:before="0" w:after="200"/>
              <w:ind w:left="0" w:right="0" w:hanging="0"/>
              <w:jc w:val="center"/>
              <w:rPr/>
            </w:pPr>
            <w:r>
              <w:rPr/>
              <w:t>​</w:t>
            </w:r>
          </w:p>
        </w:tc>
        <w:tc>
          <w:tcPr>
            <w:tcW w:w="316" w:type="dxa"/>
            <w:tcBorders/>
            <w:vAlign w:val="center"/>
          </w:tcPr>
          <w:p>
            <w:pPr>
              <w:pStyle w:val="TableContents"/>
              <w:bidi w:val="0"/>
              <w:spacing w:lineRule="auto" w:line="328" w:before="0" w:after="200"/>
              <w:ind w:left="0" w:right="0" w:hanging="0"/>
              <w:jc w:val="center"/>
              <w:rPr/>
            </w:pPr>
            <w:r>
              <w:rPr/>
              <w:t>​</w:t>
            </w:r>
          </w:p>
        </w:tc>
      </w:tr>
      <w:tr>
        <w:trPr/>
        <w:tc>
          <w:tcPr>
            <w:tcW w:w="1501"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015" w:type="dxa"/>
            <w:gridSpan w:val="5"/>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Three Months Ended</w:t>
            </w:r>
          </w:p>
        </w:tc>
        <w:tc>
          <w:tcPr>
            <w:tcW w:w="346" w:type="dxa"/>
            <w:tcBorders/>
            <w:vAlign w:val="center"/>
          </w:tcPr>
          <w:p>
            <w:pPr>
              <w:pStyle w:val="TableContents"/>
              <w:bidi w:val="0"/>
              <w:spacing w:lineRule="auto" w:line="328" w:before="0" w:after="200"/>
              <w:ind w:left="0" w:right="0" w:hanging="0"/>
              <w:jc w:val="center"/>
              <w:rPr/>
            </w:pPr>
            <w:r>
              <w:rPr/>
              <w:t>​</w:t>
            </w:r>
          </w:p>
        </w:tc>
        <w:tc>
          <w:tcPr>
            <w:tcW w:w="1940" w:type="dxa"/>
            <w:gridSpan w:val="5"/>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Increase</w:t>
            </w:r>
          </w:p>
        </w:tc>
        <w:tc>
          <w:tcPr>
            <w:tcW w:w="346" w:type="dxa"/>
            <w:tcBorders/>
            <w:vAlign w:val="center"/>
          </w:tcPr>
          <w:p>
            <w:pPr>
              <w:pStyle w:val="TableContents"/>
              <w:bidi w:val="0"/>
              <w:spacing w:lineRule="auto" w:line="328" w:before="0" w:after="200"/>
              <w:ind w:left="0" w:right="0" w:hanging="0"/>
              <w:jc w:val="left"/>
              <w:rPr/>
            </w:pPr>
            <w:r>
              <w:rPr/>
              <w:t>​</w:t>
            </w:r>
          </w:p>
        </w:tc>
        <w:tc>
          <w:tcPr>
            <w:tcW w:w="2015" w:type="dxa"/>
            <w:gridSpan w:val="5"/>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Six Months Ended</w:t>
            </w:r>
          </w:p>
        </w:tc>
        <w:tc>
          <w:tcPr>
            <w:tcW w:w="109" w:type="dxa"/>
            <w:tcBorders/>
            <w:vAlign w:val="center"/>
          </w:tcPr>
          <w:p>
            <w:pPr>
              <w:pStyle w:val="TableContents"/>
              <w:bidi w:val="0"/>
              <w:spacing w:lineRule="auto" w:line="328" w:before="0" w:after="200"/>
              <w:ind w:left="0" w:right="0" w:hanging="0"/>
              <w:jc w:val="center"/>
              <w:rPr/>
            </w:pPr>
            <w:r>
              <w:rPr/>
              <w:t>​</w:t>
            </w:r>
          </w:p>
        </w:tc>
        <w:tc>
          <w:tcPr>
            <w:tcW w:w="1925" w:type="dxa"/>
            <w:gridSpan w:val="5"/>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Increase</w:t>
            </w:r>
          </w:p>
        </w:tc>
      </w:tr>
      <w:tr>
        <w:trPr/>
        <w:tc>
          <w:tcPr>
            <w:tcW w:w="1501" w:type="dxa"/>
            <w:tcBorders/>
            <w:vAlign w:val="center"/>
          </w:tcPr>
          <w:p>
            <w:pPr>
              <w:pStyle w:val="TableContents"/>
              <w:bidi w:val="0"/>
              <w:spacing w:lineRule="auto" w:line="328" w:before="0" w:after="200"/>
              <w:ind w:left="0" w:right="0" w:hanging="0"/>
              <w:jc w:val="left"/>
              <w:rPr/>
            </w:pPr>
            <w:r>
              <w:rPr/>
              <w:t>​</w:t>
            </w:r>
          </w:p>
        </w:tc>
        <w:tc>
          <w:tcPr>
            <w:tcW w:w="346" w:type="dxa"/>
            <w:tcBorders/>
            <w:vAlign w:val="center"/>
          </w:tcPr>
          <w:p>
            <w:pPr>
              <w:pStyle w:val="TableContents"/>
              <w:bidi w:val="0"/>
              <w:spacing w:lineRule="auto" w:line="328" w:before="0" w:after="20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June 30,</w:t>
            </w:r>
          </w:p>
        </w:tc>
        <w:tc>
          <w:tcPr>
            <w:tcW w:w="346" w:type="dxa"/>
            <w:tcBorders/>
            <w:vAlign w:val="center"/>
          </w:tcPr>
          <w:p>
            <w:pPr>
              <w:pStyle w:val="TableContents"/>
              <w:bidi w:val="0"/>
              <w:spacing w:lineRule="auto" w:line="328" w:before="0" w:after="20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(Decrease)</w:t>
            </w:r>
          </w:p>
        </w:tc>
        <w:tc>
          <w:tcPr>
            <w:tcW w:w="346" w:type="dxa"/>
            <w:tcBorders/>
            <w:vAlign w:val="center"/>
          </w:tcPr>
          <w:p>
            <w:pPr>
              <w:pStyle w:val="TableContents"/>
              <w:bidi w:val="0"/>
              <w:spacing w:lineRule="auto" w:line="328" w:before="0" w:after="20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June 30,</w:t>
            </w:r>
          </w:p>
        </w:tc>
        <w:tc>
          <w:tcPr>
            <w:tcW w:w="109" w:type="dxa"/>
            <w:tcBorders/>
            <w:vAlign w:val="center"/>
          </w:tcPr>
          <w:p>
            <w:pPr>
              <w:pStyle w:val="TableContents"/>
              <w:bidi w:val="0"/>
              <w:spacing w:lineRule="auto" w:line="328" w:before="0" w:after="200"/>
              <w:ind w:left="0" w:right="0" w:hanging="0"/>
              <w:jc w:val="center"/>
              <w:rPr/>
            </w:pPr>
            <w:r>
              <w:rPr/>
              <w:t>​</w:t>
            </w:r>
          </w:p>
        </w:tc>
        <w:tc>
          <w:tcPr>
            <w:tcW w:w="1925" w:type="dxa"/>
            <w:gridSpan w:val="5"/>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(Decrease)</w:t>
            </w:r>
          </w:p>
        </w:tc>
      </w:tr>
      <w:tr>
        <w:trPr/>
        <w:tc>
          <w:tcPr>
            <w:tcW w:w="1501" w:type="dxa"/>
            <w:tcBorders>
              <w:bottom w:val="single" w:sz="2" w:space="0" w:color="000000"/>
            </w:tcBorders>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(Dollars in thousands)</w:t>
            </w:r>
          </w:p>
        </w:tc>
        <w:tc>
          <w:tcPr>
            <w:tcW w:w="346" w:type="dxa"/>
            <w:tcBorders/>
            <w:vAlign w:val="center"/>
          </w:tcPr>
          <w:p>
            <w:pPr>
              <w:pStyle w:val="TableContents"/>
              <w:bidi w:val="0"/>
              <w:spacing w:lineRule="auto" w:line="328" w:before="1"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328" w:before="1"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328" w:before="1"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w:t>
            </w:r>
          </w:p>
        </w:tc>
        <w:tc>
          <w:tcPr>
            <w:tcW w:w="346" w:type="dxa"/>
            <w:tcBorders/>
            <w:vAlign w:val="center"/>
          </w:tcPr>
          <w:p>
            <w:pPr>
              <w:pStyle w:val="TableContents"/>
              <w:bidi w:val="0"/>
              <w:spacing w:lineRule="auto" w:line="328" w:before="1"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w:t>
            </w:r>
          </w:p>
        </w:tc>
        <w:tc>
          <w:tcPr>
            <w:tcW w:w="346" w:type="dxa"/>
            <w:tcBorders/>
            <w:vAlign w:val="center"/>
          </w:tcPr>
          <w:p>
            <w:pPr>
              <w:pStyle w:val="TableContents"/>
              <w:bidi w:val="0"/>
              <w:spacing w:lineRule="auto" w:line="328" w:before="1"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328" w:before="1"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lineRule="auto" w:line="328" w:before="0" w:after="20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w:t>
            </w:r>
          </w:p>
        </w:tc>
        <w:tc>
          <w:tcPr>
            <w:tcW w:w="346" w:type="dxa"/>
            <w:tcBorders/>
            <w:vAlign w:val="center"/>
          </w:tcPr>
          <w:p>
            <w:pPr>
              <w:pStyle w:val="TableContents"/>
              <w:bidi w:val="0"/>
              <w:spacing w:lineRule="auto" w:line="328" w:before="1"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50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b/>
                <w:sz w:val="18"/>
              </w:rPr>
            </w:pPr>
            <w:r>
              <w:rPr>
                <w:rFonts w:ascii="Arial;Helvetica;sans-serif" w:hAnsi="Arial;Helvetica;sans-serif"/>
                <w:b/>
                <w:sz w:val="18"/>
              </w:rPr>
              <w:t>Net income</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21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7,785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3,217</w:t>
            </w:r>
          </w:p>
        </w:tc>
        <w:tc>
          <w:tcPr>
            <w:tcW w:w="346"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4,568</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142</w:t>
            </w:r>
          </w:p>
        </w:tc>
        <w:tc>
          <w:tcPr>
            <w:tcW w:w="27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6,022</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243</w:t>
            </w:r>
          </w:p>
        </w:tc>
        <w:tc>
          <w:tcPr>
            <w:tcW w:w="109"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5,779</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N.M.</w:t>
            </w:r>
          </w:p>
        </w:tc>
        <w:tc>
          <w:tcPr>
            <w:tcW w:w="316"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Interest (income) expense, net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76"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(542)</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(440)</w:t>
            </w:r>
          </w:p>
        </w:tc>
        <w:tc>
          <w:tcPr>
            <w:tcW w:w="346" w:type="dxa"/>
            <w:tcBorders/>
            <w:vAlign w:val="center"/>
          </w:tcPr>
          <w:p>
            <w:pPr>
              <w:pStyle w:val="TableContents"/>
              <w:bidi w:val="0"/>
              <w:spacing w:lineRule="auto" w:line="328" w:before="0" w:after="200"/>
              <w:ind w:left="0" w:right="0" w:hanging="0"/>
              <w:jc w:val="righ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3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(102)</w:t>
            </w:r>
          </w:p>
        </w:tc>
        <w:tc>
          <w:tcPr>
            <w:tcW w:w="346" w:type="dxa"/>
            <w:tcBorders/>
            <w:vAlign w:val="center"/>
          </w:tcPr>
          <w:p>
            <w:pPr>
              <w:pStyle w:val="TableContents"/>
              <w:bidi w:val="0"/>
              <w:spacing w:lineRule="auto" w:line="328" w:before="1" w:after="1"/>
              <w:ind w:left="0" w:right="0" w:hanging="0"/>
              <w:jc w:val="left"/>
              <w:rPr/>
            </w:pPr>
            <w:r>
              <w:rPr/>
              <w:t> </w:t>
            </w:r>
          </w:p>
        </w:tc>
        <w:tc>
          <w:tcPr>
            <w:tcW w:w="48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23</w:t>
            </w:r>
          </w:p>
        </w:tc>
        <w:tc>
          <w:tcPr>
            <w:tcW w:w="27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76"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(1,180)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(911)</w:t>
            </w:r>
          </w:p>
        </w:tc>
        <w:tc>
          <w:tcPr>
            <w:tcW w:w="109" w:type="dxa"/>
            <w:tcBorders/>
            <w:vAlign w:val="center"/>
          </w:tcPr>
          <w:p>
            <w:pPr>
              <w:pStyle w:val="TableContents"/>
              <w:bidi w:val="0"/>
              <w:spacing w:lineRule="auto" w:line="328" w:before="0" w:after="200"/>
              <w:ind w:left="0" w:right="0" w:hanging="0"/>
              <w:jc w:val="righ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(269)</w:t>
            </w:r>
          </w:p>
        </w:tc>
        <w:tc>
          <w:tcPr>
            <w:tcW w:w="346" w:type="dxa"/>
            <w:tcBorders/>
            <w:vAlign w:val="center"/>
          </w:tcPr>
          <w:p>
            <w:pPr>
              <w:pStyle w:val="TableContents"/>
              <w:bidi w:val="0"/>
              <w:spacing w:lineRule="auto" w:line="328" w:before="1" w:after="1"/>
              <w:ind w:left="0" w:right="0" w:hanging="0"/>
              <w:jc w:val="left"/>
              <w:rPr/>
            </w:pPr>
            <w:r>
              <w:rPr/>
              <w:t> </w:t>
            </w:r>
          </w:p>
        </w:tc>
        <w:tc>
          <w:tcPr>
            <w:tcW w:w="48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30</w:t>
            </w:r>
          </w:p>
        </w:tc>
        <w:tc>
          <w:tcPr>
            <w:tcW w:w="316"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Income tax (benefit) expense</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676"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(417)</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1,307</w:t>
            </w:r>
          </w:p>
        </w:tc>
        <w:tc>
          <w:tcPr>
            <w:tcW w:w="346"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63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(1,724)</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(132)</w:t>
            </w:r>
          </w:p>
        </w:tc>
        <w:tc>
          <w:tcPr>
            <w:tcW w:w="27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676"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450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210</w:t>
            </w:r>
          </w:p>
        </w:tc>
        <w:tc>
          <w:tcPr>
            <w:tcW w:w="109"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240</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114</w:t>
            </w:r>
          </w:p>
        </w:tc>
        <w:tc>
          <w:tcPr>
            <w:tcW w:w="316"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76"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1,811</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1,659</w:t>
            </w:r>
          </w:p>
        </w:tc>
        <w:tc>
          <w:tcPr>
            <w:tcW w:w="346" w:type="dxa"/>
            <w:tcBorders/>
            <w:vAlign w:val="center"/>
          </w:tcPr>
          <w:p>
            <w:pPr>
              <w:pStyle w:val="TableContents"/>
              <w:bidi w:val="0"/>
              <w:spacing w:lineRule="auto" w:line="328" w:before="0" w:after="200"/>
              <w:ind w:left="0" w:right="0" w:hanging="0"/>
              <w:jc w:val="righ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3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152</w:t>
            </w:r>
          </w:p>
        </w:tc>
        <w:tc>
          <w:tcPr>
            <w:tcW w:w="346" w:type="dxa"/>
            <w:tcBorders/>
            <w:vAlign w:val="center"/>
          </w:tcPr>
          <w:p>
            <w:pPr>
              <w:pStyle w:val="TableContents"/>
              <w:bidi w:val="0"/>
              <w:spacing w:lineRule="auto" w:line="328" w:before="1" w:after="1"/>
              <w:ind w:left="0" w:right="0" w:hanging="0"/>
              <w:jc w:val="left"/>
              <w:rPr/>
            </w:pPr>
            <w:r>
              <w:rPr/>
              <w:t> </w:t>
            </w:r>
          </w:p>
        </w:tc>
        <w:tc>
          <w:tcPr>
            <w:tcW w:w="48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9</w:t>
            </w:r>
          </w:p>
        </w:tc>
        <w:tc>
          <w:tcPr>
            <w:tcW w:w="27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76"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3,450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3,385</w:t>
            </w:r>
          </w:p>
        </w:tc>
        <w:tc>
          <w:tcPr>
            <w:tcW w:w="109" w:type="dxa"/>
            <w:tcBorders/>
            <w:vAlign w:val="center"/>
          </w:tcPr>
          <w:p>
            <w:pPr>
              <w:pStyle w:val="TableContents"/>
              <w:bidi w:val="0"/>
              <w:spacing w:lineRule="auto" w:line="328" w:before="0" w:after="200"/>
              <w:ind w:left="0" w:right="0" w:hanging="0"/>
              <w:jc w:val="righ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65</w:t>
            </w:r>
          </w:p>
        </w:tc>
        <w:tc>
          <w:tcPr>
            <w:tcW w:w="346" w:type="dxa"/>
            <w:tcBorders/>
            <w:vAlign w:val="center"/>
          </w:tcPr>
          <w:p>
            <w:pPr>
              <w:pStyle w:val="TableContents"/>
              <w:bidi w:val="0"/>
              <w:spacing w:lineRule="auto" w:line="328" w:before="1" w:after="1"/>
              <w:ind w:left="0" w:right="0" w:hanging="0"/>
              <w:jc w:val="left"/>
              <w:rPr/>
            </w:pPr>
            <w:r>
              <w:rPr/>
              <w:t> </w:t>
            </w:r>
          </w:p>
        </w:tc>
        <w:tc>
          <w:tcPr>
            <w:tcW w:w="48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w:t>
            </w:r>
          </w:p>
        </w:tc>
        <w:tc>
          <w:tcPr>
            <w:tcW w:w="316"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Stock-based compensation</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676"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2,260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1,939</w:t>
            </w:r>
          </w:p>
        </w:tc>
        <w:tc>
          <w:tcPr>
            <w:tcW w:w="346"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0" w:after="200"/>
              <w:ind w:left="0" w:right="0" w:hanging="0"/>
              <w:jc w:val="right"/>
              <w:rPr/>
            </w:pPr>
            <w:r>
              <w:rPr/>
              <w:t>​</w:t>
            </w:r>
          </w:p>
        </w:tc>
        <w:tc>
          <w:tcPr>
            <w:tcW w:w="63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321</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17</w:t>
            </w:r>
          </w:p>
        </w:tc>
        <w:tc>
          <w:tcPr>
            <w:tcW w:w="27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676"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4,040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4,005</w:t>
            </w:r>
          </w:p>
        </w:tc>
        <w:tc>
          <w:tcPr>
            <w:tcW w:w="109"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0" w:after="200"/>
              <w:ind w:left="0" w:right="0" w:hanging="0"/>
              <w:jc w:val="right"/>
              <w:rPr/>
            </w:pPr>
            <w:r>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35</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w:t>
            </w:r>
          </w:p>
        </w:tc>
        <w:tc>
          <w:tcPr>
            <w:tcW w:w="316"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Acquisition &amp; integration costs</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76"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156</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pPr>
            <w:r>
              <w:rPr/>
              <w:t>—</w:t>
            </w:r>
          </w:p>
        </w:tc>
        <w:tc>
          <w:tcPr>
            <w:tcW w:w="346" w:type="dxa"/>
            <w:tcBorders/>
            <w:vAlign w:val="center"/>
          </w:tcPr>
          <w:p>
            <w:pPr>
              <w:pStyle w:val="TableContents"/>
              <w:bidi w:val="0"/>
              <w:spacing w:lineRule="auto" w:line="328" w:before="0" w:after="200"/>
              <w:ind w:left="0" w:right="0" w:hanging="0"/>
              <w:jc w:val="right"/>
              <w:rPr/>
            </w:pPr>
            <w:r>
              <w:rPr/>
              <w:t>​</w:t>
            </w:r>
          </w:p>
        </w:tc>
        <w:tc>
          <w:tcPr>
            <w:tcW w:w="211" w:type="dxa"/>
            <w:tcBorders/>
            <w:vAlign w:val="center"/>
          </w:tcPr>
          <w:p>
            <w:pPr>
              <w:pStyle w:val="TableContents"/>
              <w:bidi w:val="0"/>
              <w:spacing w:lineRule="auto" w:line="328" w:before="0" w:after="200"/>
              <w:ind w:left="0" w:right="0" w:hanging="0"/>
              <w:jc w:val="right"/>
              <w:rPr/>
            </w:pPr>
            <w:r>
              <w:rPr/>
              <w:t>​</w:t>
            </w:r>
          </w:p>
        </w:tc>
        <w:tc>
          <w:tcPr>
            <w:tcW w:w="63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156</w:t>
            </w:r>
          </w:p>
        </w:tc>
        <w:tc>
          <w:tcPr>
            <w:tcW w:w="346" w:type="dxa"/>
            <w:tcBorders/>
            <w:vAlign w:val="center"/>
          </w:tcPr>
          <w:p>
            <w:pPr>
              <w:pStyle w:val="TableContents"/>
              <w:bidi w:val="0"/>
              <w:spacing w:lineRule="auto" w:line="328" w:before="0" w:after="200"/>
              <w:ind w:left="0" w:right="0" w:hanging="0"/>
              <w:jc w:val="left"/>
              <w:rPr/>
            </w:pPr>
            <w:r>
              <w:rPr/>
              <w:t>​</w:t>
            </w:r>
          </w:p>
        </w:tc>
        <w:tc>
          <w:tcPr>
            <w:tcW w:w="481" w:type="dxa"/>
            <w:tcBorders/>
            <w:vAlign w:val="center"/>
          </w:tcPr>
          <w:p>
            <w:pPr>
              <w:pStyle w:val="TableContents"/>
              <w:bidi w:val="0"/>
              <w:spacing w:lineRule="auto" w:line="328" w:before="1" w:after="1"/>
              <w:ind w:left="0" w:right="0" w:hanging="0"/>
              <w:jc w:val="right"/>
              <w:rPr/>
            </w:pPr>
            <w:r>
              <w:rPr/>
              <w:t>—</w:t>
            </w:r>
          </w:p>
        </w:tc>
        <w:tc>
          <w:tcPr>
            <w:tcW w:w="27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676"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973</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vAlign w:val="center"/>
          </w:tcPr>
          <w:p>
            <w:pPr>
              <w:pStyle w:val="TableContents"/>
              <w:bidi w:val="0"/>
              <w:spacing w:lineRule="auto" w:line="328" w:before="0" w:after="200"/>
              <w:ind w:left="0" w:right="0" w:hanging="0"/>
              <w:jc w:val="left"/>
              <w:rPr/>
            </w:pPr>
            <w:r>
              <w:rPr/>
              <w:t>​</w:t>
            </w:r>
          </w:p>
        </w:tc>
        <w:tc>
          <w:tcPr>
            <w:tcW w:w="571" w:type="dxa"/>
            <w:tcBorders/>
            <w:vAlign w:val="center"/>
          </w:tcPr>
          <w:p>
            <w:pPr>
              <w:pStyle w:val="TableContents"/>
              <w:bidi w:val="0"/>
              <w:spacing w:lineRule="auto" w:line="328" w:before="1" w:after="1"/>
              <w:ind w:left="0" w:right="0" w:hanging="0"/>
              <w:jc w:val="right"/>
              <w:rPr/>
            </w:pPr>
            <w:r>
              <w:rPr/>
              <w:t>—</w:t>
            </w:r>
          </w:p>
        </w:tc>
        <w:tc>
          <w:tcPr>
            <w:tcW w:w="109" w:type="dxa"/>
            <w:tcBorders/>
            <w:vAlign w:val="center"/>
          </w:tcPr>
          <w:p>
            <w:pPr>
              <w:pStyle w:val="TableContents"/>
              <w:bidi w:val="0"/>
              <w:spacing w:lineRule="auto" w:line="328" w:before="0" w:after="200"/>
              <w:ind w:left="0" w:right="0" w:hanging="0"/>
              <w:jc w:val="right"/>
              <w:rPr/>
            </w:pPr>
            <w:r>
              <w:rPr/>
              <w:t>​</w:t>
            </w:r>
          </w:p>
        </w:tc>
        <w:tc>
          <w:tcPr>
            <w:tcW w:w="211" w:type="dxa"/>
            <w:tcBorders/>
            <w:vAlign w:val="center"/>
          </w:tcPr>
          <w:p>
            <w:pPr>
              <w:pStyle w:val="TableContents"/>
              <w:bidi w:val="0"/>
              <w:spacing w:lineRule="auto" w:line="328" w:before="0" w:after="200"/>
              <w:ind w:left="0" w:right="0" w:hanging="0"/>
              <w:jc w:val="right"/>
              <w:rPr/>
            </w:pPr>
            <w:r>
              <w:rPr/>
              <w:t>​</w:t>
            </w:r>
          </w:p>
        </w:tc>
        <w:tc>
          <w:tcPr>
            <w:tcW w:w="57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973</w:t>
            </w:r>
          </w:p>
        </w:tc>
        <w:tc>
          <w:tcPr>
            <w:tcW w:w="346" w:type="dxa"/>
            <w:tcBorders/>
            <w:vAlign w:val="center"/>
          </w:tcPr>
          <w:p>
            <w:pPr>
              <w:pStyle w:val="TableContents"/>
              <w:bidi w:val="0"/>
              <w:spacing w:lineRule="auto" w:line="328" w:before="0" w:after="200"/>
              <w:ind w:left="0" w:right="0" w:hanging="0"/>
              <w:jc w:val="left"/>
              <w:rPr/>
            </w:pPr>
            <w:r>
              <w:rPr/>
              <w:t>​</w:t>
            </w:r>
          </w:p>
        </w:tc>
        <w:tc>
          <w:tcPr>
            <w:tcW w:w="481" w:type="dxa"/>
            <w:tcBorders/>
            <w:vAlign w:val="center"/>
          </w:tcPr>
          <w:p>
            <w:pPr>
              <w:pStyle w:val="TableContents"/>
              <w:bidi w:val="0"/>
              <w:spacing w:lineRule="auto" w:line="328" w:before="1" w:after="1"/>
              <w:ind w:left="0" w:right="0" w:hanging="0"/>
              <w:jc w:val="right"/>
              <w:rPr/>
            </w:pPr>
            <w:r>
              <w:rPr/>
              <w:t>—</w:t>
            </w:r>
          </w:p>
        </w:tc>
        <w:tc>
          <w:tcPr>
            <w:tcW w:w="316"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Litigation-related costs</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676" w:type="dxa"/>
            <w:tcBorders/>
            <w:shd w:fill="CCEEFF" w:val="clear"/>
            <w:vAlign w:val="center"/>
          </w:tcPr>
          <w:p>
            <w:pPr>
              <w:pStyle w:val="TableContents"/>
              <w:bidi w:val="0"/>
              <w:spacing w:lineRule="auto" w:line="328" w:before="1" w:after="1"/>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571" w:type="dxa"/>
            <w:tcBorders/>
            <w:shd w:fill="CCEEFF" w:val="clear"/>
            <w:vAlign w:val="center"/>
          </w:tcPr>
          <w:p>
            <w:pPr>
              <w:pStyle w:val="TableContents"/>
              <w:bidi w:val="0"/>
              <w:spacing w:lineRule="auto" w:line="328" w:before="1" w:after="1"/>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0" w:after="200"/>
              <w:ind w:left="0" w:right="0" w:hanging="0"/>
              <w:jc w:val="right"/>
              <w:rPr/>
            </w:pPr>
            <w:r>
              <w:rPr/>
              <w:t>​</w:t>
            </w:r>
          </w:p>
        </w:tc>
        <w:tc>
          <w:tcPr>
            <w:tcW w:w="631" w:type="dxa"/>
            <w:tcBorders/>
            <w:shd w:fill="CCEEFF" w:val="clear"/>
            <w:vAlign w:val="center"/>
          </w:tcPr>
          <w:p>
            <w:pPr>
              <w:pStyle w:val="TableContents"/>
              <w:bidi w:val="0"/>
              <w:spacing w:lineRule="auto" w:line="328" w:before="1" w:after="1"/>
              <w:ind w:left="0" w:right="0" w:hanging="0"/>
              <w:jc w:val="right"/>
              <w:rPr/>
            </w:pPr>
            <w:r>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481" w:type="dxa"/>
            <w:tcBorders/>
            <w:shd w:fill="CCEEFF" w:val="clear"/>
            <w:vAlign w:val="center"/>
          </w:tcPr>
          <w:p>
            <w:pPr>
              <w:pStyle w:val="TableContents"/>
              <w:bidi w:val="0"/>
              <w:spacing w:lineRule="auto" w:line="328" w:before="1" w:after="1"/>
              <w:ind w:left="0" w:right="0" w:hanging="0"/>
              <w:jc w:val="right"/>
              <w:rPr/>
            </w:pPr>
            <w:r>
              <w:rPr/>
              <w:t>—</w:t>
            </w:r>
          </w:p>
        </w:tc>
        <w:tc>
          <w:tcPr>
            <w:tcW w:w="27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676"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1,000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shd w:fill="CCEEFF" w:val="clear"/>
            <w:vAlign w:val="center"/>
          </w:tcPr>
          <w:p>
            <w:pPr>
              <w:pStyle w:val="TableContents"/>
              <w:bidi w:val="0"/>
              <w:spacing w:lineRule="auto" w:line="328" w:before="0" w:after="200"/>
              <w:ind w:left="0" w:right="0" w:hanging="0"/>
              <w:jc w:val="left"/>
              <w:rPr/>
            </w:pPr>
            <w:r>
              <w:rPr/>
              <w:t>​</w:t>
            </w:r>
          </w:p>
        </w:tc>
        <w:tc>
          <w:tcPr>
            <w:tcW w:w="571" w:type="dxa"/>
            <w:tcBorders/>
            <w:shd w:fill="CCEEFF" w:val="clear"/>
            <w:vAlign w:val="center"/>
          </w:tcPr>
          <w:p>
            <w:pPr>
              <w:pStyle w:val="TableContents"/>
              <w:bidi w:val="0"/>
              <w:spacing w:lineRule="auto" w:line="328" w:before="1" w:after="1"/>
              <w:ind w:left="0" w:right="0" w:hanging="0"/>
              <w:jc w:val="right"/>
              <w:rPr/>
            </w:pPr>
            <w:r>
              <w:rPr/>
              <w:t>—</w:t>
            </w:r>
          </w:p>
        </w:tc>
        <w:tc>
          <w:tcPr>
            <w:tcW w:w="109"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shd w:fill="CCEEFF" w:val="clear"/>
            <w:vAlign w:val="center"/>
          </w:tcPr>
          <w:p>
            <w:pPr>
              <w:pStyle w:val="TableContents"/>
              <w:bidi w:val="0"/>
              <w:spacing w:lineRule="auto" w:line="328" w:before="0" w:after="200"/>
              <w:ind w:left="0" w:right="0" w:hanging="0"/>
              <w:jc w:val="right"/>
              <w:rPr/>
            </w:pPr>
            <w:r>
              <w:rPr/>
              <w:t>​</w:t>
            </w:r>
          </w:p>
        </w:tc>
        <w:tc>
          <w:tcPr>
            <w:tcW w:w="57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1,000</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481" w:type="dxa"/>
            <w:tcBorders/>
            <w:shd w:fill="CCEEFF" w:val="clear"/>
            <w:vAlign w:val="center"/>
          </w:tcPr>
          <w:p>
            <w:pPr>
              <w:pStyle w:val="TableContents"/>
              <w:bidi w:val="0"/>
              <w:spacing w:lineRule="auto" w:line="328" w:before="1" w:after="1"/>
              <w:ind w:left="0" w:right="0" w:hanging="0"/>
              <w:jc w:val="right"/>
              <w:rPr/>
            </w:pPr>
            <w:r>
              <w:rPr/>
              <w:t>—</w:t>
            </w:r>
          </w:p>
        </w:tc>
        <w:tc>
          <w:tcPr>
            <w:tcW w:w="316"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Executive transition costs</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360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pPr>
            <w:r>
              <w:rPr/>
              <w:t>—</w:t>
            </w:r>
          </w:p>
        </w:tc>
        <w:tc>
          <w:tcPr>
            <w:tcW w:w="346" w:type="dxa"/>
            <w:tcBorders/>
            <w:vAlign w:val="center"/>
          </w:tcPr>
          <w:p>
            <w:pPr>
              <w:pStyle w:val="TableContents"/>
              <w:bidi w:val="0"/>
              <w:spacing w:lineRule="auto" w:line="328" w:before="0" w:after="20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360</w:t>
            </w:r>
          </w:p>
        </w:tc>
        <w:tc>
          <w:tcPr>
            <w:tcW w:w="346" w:type="dxa"/>
            <w:tcBorders/>
            <w:vAlign w:val="center"/>
          </w:tcPr>
          <w:p>
            <w:pPr>
              <w:pStyle w:val="TableContents"/>
              <w:bidi w:val="0"/>
              <w:spacing w:lineRule="auto" w:line="328" w:before="0" w:after="200"/>
              <w:ind w:left="0" w:right="0" w:hanging="0"/>
              <w:jc w:val="left"/>
              <w:rPr/>
            </w:pPr>
            <w:r>
              <w:rPr/>
              <w:t>​</w:t>
            </w:r>
          </w:p>
        </w:tc>
        <w:tc>
          <w:tcPr>
            <w:tcW w:w="481" w:type="dxa"/>
            <w:tcBorders/>
            <w:vAlign w:val="center"/>
          </w:tcPr>
          <w:p>
            <w:pPr>
              <w:pStyle w:val="TableContents"/>
              <w:bidi w:val="0"/>
              <w:spacing w:lineRule="auto" w:line="328" w:before="1" w:after="1"/>
              <w:ind w:left="0" w:right="0" w:hanging="0"/>
              <w:jc w:val="right"/>
              <w:rPr/>
            </w:pPr>
            <w:r>
              <w:rPr/>
              <w:t>—</w:t>
            </w:r>
          </w:p>
        </w:tc>
        <w:tc>
          <w:tcPr>
            <w:tcW w:w="271"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360</w:t>
            </w:r>
          </w:p>
        </w:tc>
        <w:tc>
          <w:tcPr>
            <w:tcW w:w="346" w:type="dxa"/>
            <w:tcBorders/>
            <w:vAlign w:val="center"/>
          </w:tcPr>
          <w:p>
            <w:pPr>
              <w:pStyle w:val="TableContents"/>
              <w:bidi w:val="0"/>
              <w:spacing w:lineRule="auto" w:line="328" w:before="0" w:after="20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491</w:t>
            </w:r>
          </w:p>
        </w:tc>
        <w:tc>
          <w:tcPr>
            <w:tcW w:w="109" w:type="dxa"/>
            <w:tcBorders/>
            <w:vAlign w:val="center"/>
          </w:tcPr>
          <w:p>
            <w:pPr>
              <w:pStyle w:val="TableContents"/>
              <w:bidi w:val="0"/>
              <w:spacing w:lineRule="auto" w:line="328" w:before="0" w:after="20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20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(131)</w:t>
            </w:r>
          </w:p>
        </w:tc>
        <w:tc>
          <w:tcPr>
            <w:tcW w:w="346" w:type="dxa"/>
            <w:tcBorders/>
            <w:vAlign w:val="center"/>
          </w:tcPr>
          <w:p>
            <w:pPr>
              <w:pStyle w:val="TableContents"/>
              <w:bidi w:val="0"/>
              <w:spacing w:lineRule="auto" w:line="328" w:before="0" w:after="200"/>
              <w:ind w:left="0" w:right="0" w:hanging="0"/>
              <w:jc w:val="left"/>
              <w:rPr/>
            </w:pPr>
            <w:r>
              <w:rPr/>
              <w:t>​</w:t>
            </w:r>
          </w:p>
        </w:tc>
        <w:tc>
          <w:tcPr>
            <w:tcW w:w="481"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(27)</w:t>
            </w:r>
          </w:p>
        </w:tc>
        <w:tc>
          <w:tcPr>
            <w:tcW w:w="316"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r>
        <w:trPr/>
        <w:tc>
          <w:tcPr>
            <w:tcW w:w="150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b/>
                <w:sz w:val="18"/>
              </w:rPr>
            </w:pPr>
            <w:r>
              <w:rPr>
                <w:rFonts w:ascii="Arial;Helvetica;sans-serif" w:hAnsi="Arial;Helvetica;sans-serif"/>
                <w:b/>
                <w:sz w:val="18"/>
              </w:rPr>
              <w:t>Adjusted EBITDA</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11,413</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7,682</w:t>
            </w:r>
          </w:p>
        </w:tc>
        <w:tc>
          <w:tcPr>
            <w:tcW w:w="346"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3,731</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49</w:t>
            </w:r>
          </w:p>
        </w:tc>
        <w:tc>
          <w:tcPr>
            <w:tcW w:w="271"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15,115</w:t>
            </w:r>
          </w:p>
        </w:tc>
        <w:tc>
          <w:tcPr>
            <w:tcW w:w="346" w:type="dxa"/>
            <w:tcBorders/>
            <w:shd w:fill="CCEEFF" w:val="clear"/>
            <w:vAlign w:val="center"/>
          </w:tcPr>
          <w:p>
            <w:pPr>
              <w:pStyle w:val="TableContents"/>
              <w:bidi w:val="0"/>
              <w:spacing w:lineRule="auto" w:line="328" w:before="0" w:after="20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7,423</w:t>
            </w:r>
          </w:p>
        </w:tc>
        <w:tc>
          <w:tcPr>
            <w:tcW w:w="109" w:type="dxa"/>
            <w:tcBorders/>
            <w:shd w:fill="CCEEFF" w:val="clear"/>
            <w:vAlign w:val="center"/>
          </w:tcPr>
          <w:p>
            <w:pPr>
              <w:pStyle w:val="TableContents"/>
              <w:bidi w:val="0"/>
              <w:spacing w:lineRule="auto" w:line="328" w:before="0" w:after="20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7,692</w:t>
            </w:r>
          </w:p>
        </w:tc>
        <w:tc>
          <w:tcPr>
            <w:tcW w:w="346" w:type="dxa"/>
            <w:tcBorders/>
            <w:shd w:fill="CCEEFF" w:val="clear"/>
            <w:vAlign w:val="center"/>
          </w:tcPr>
          <w:p>
            <w:pPr>
              <w:pStyle w:val="TableContents"/>
              <w:bidi w:val="0"/>
              <w:spacing w:lineRule="auto" w:line="328" w:before="1" w:after="1"/>
              <w:ind w:left="0" w:right="0" w:hanging="0"/>
              <w:jc w:val="left"/>
              <w:rPr/>
            </w:pPr>
            <w:r>
              <w:rPr/>
              <w:t> </w:t>
            </w:r>
          </w:p>
        </w:tc>
        <w:tc>
          <w:tcPr>
            <w:tcW w:w="481"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104</w:t>
            </w:r>
          </w:p>
        </w:tc>
        <w:tc>
          <w:tcPr>
            <w:tcW w:w="316"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r>
    </w:tbl>
    <w:p>
      <w:pPr>
        <w:pStyle w:val="TextBody"/>
        <w:shd w:fill="FFFFFF" w:val="clear"/>
        <w:bidi w:val="0"/>
        <w:spacing w:lineRule="auto" w:line="285" w:before="120" w:after="0"/>
        <w:ind w:left="0" w:right="0" w:hanging="0"/>
        <w:jc w:val="both"/>
        <w:rPr/>
      </w:pPr>
      <w:r>
        <w:rPr/>
        <w:t>“</w:t>
      </w:r>
      <w:r>
        <w:rPr>
          <w:rFonts w:ascii="Arial;Helvetica;sans-serif" w:hAnsi="Arial;Helvetica;sans-serif"/>
          <w:sz w:val="16"/>
        </w:rPr>
        <w:t>N.M.” Not Meaningful</w:t>
      </w:r>
    </w:p>
    <w:p>
      <w:pPr>
        <w:pStyle w:val="TextBody"/>
        <w:pBdr/>
        <w:bidi w:val="0"/>
        <w:spacing w:lineRule="auto" w:line="328"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The following table contains a reconciliation of net income to Adjusted EBITDA for the year ended December 31, 2025:</w:t>
      </w:r>
    </w:p>
    <w:tbl>
      <w:tblPr>
        <w:tblW w:w="5792" w:type="dxa"/>
        <w:jc w:val="left"/>
        <w:tblInd w:w="0" w:type="dxa"/>
        <w:tblLayout w:type="fixed"/>
        <w:tblCellMar>
          <w:top w:w="0" w:type="dxa"/>
          <w:left w:w="0" w:type="dxa"/>
          <w:bottom w:w="0" w:type="dxa"/>
          <w:right w:w="0" w:type="dxa"/>
        </w:tblCellMar>
      </w:tblPr>
      <w:tblGrid>
        <w:gridCol w:w="3507"/>
        <w:gridCol w:w="470"/>
        <w:gridCol w:w="385"/>
        <w:gridCol w:w="1430"/>
      </w:tblGrid>
      <w:tr>
        <w:trPr/>
        <w:tc>
          <w:tcPr>
            <w:tcW w:w="3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26945" cy="175260"/>
                      <wp:effectExtent l="0" t="0" r="0" b="0"/>
                      <wp:wrapNone/>
                      <wp:docPr id="71" name="Frame71"/>
                      <a:graphic xmlns:a="http://schemas.openxmlformats.org/drawingml/2006/main">
                        <a:graphicData uri="http://schemas.microsoft.com/office/word/2010/wordprocessingShape">
                          <wps:wsp>
                            <wps:cNvSpPr txBox="1"/>
                            <wps:spPr>
                              <a:xfrm>
                                <a:off x="0" y="0"/>
                                <a:ext cx="222694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98450" cy="175260"/>
                      <wp:effectExtent l="0" t="0" r="0" b="0"/>
                      <wp:wrapNone/>
                      <wp:docPr id="72" name="Frame72"/>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44475" cy="175260"/>
                      <wp:effectExtent l="0" t="0" r="0" b="0"/>
                      <wp:wrapNone/>
                      <wp:docPr id="73" name="Frame7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08050" cy="175260"/>
                      <wp:effectExtent l="0" t="0" r="0" b="0"/>
                      <wp:wrapNone/>
                      <wp:docPr id="74" name="Frame74"/>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r>
      <w:tr>
        <w:trPr/>
        <w:tc>
          <w:tcPr>
            <w:tcW w:w="5792" w:type="dxa"/>
            <w:gridSpan w:val="4"/>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Tactile Systems Technology, Inc.</w:t>
            </w:r>
          </w:p>
        </w:tc>
      </w:tr>
      <w:tr>
        <w:trPr/>
        <w:tc>
          <w:tcPr>
            <w:tcW w:w="5792" w:type="dxa"/>
            <w:gridSpan w:val="4"/>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Reconciliation of Net Income to Non-GAAP Adjusted EBITDA</w:t>
            </w:r>
          </w:p>
        </w:tc>
      </w:tr>
      <w:tr>
        <w:trPr/>
        <w:tc>
          <w:tcPr>
            <w:tcW w:w="5792" w:type="dxa"/>
            <w:gridSpan w:val="4"/>
            <w:tcBorders/>
            <w:vAlign w:val="center"/>
          </w:tcPr>
          <w:p>
            <w:pPr>
              <w:pStyle w:val="TableContents"/>
              <w:bidi w:val="0"/>
              <w:spacing w:lineRule="auto" w:line="328" w:before="1" w:after="1"/>
              <w:ind w:left="0" w:right="0" w:hanging="0"/>
              <w:jc w:val="center"/>
              <w:rPr>
                <w:rFonts w:ascii="Arial;Helvetica;sans-serif" w:hAnsi="Arial;Helvetica;sans-serif"/>
                <w:sz w:val="18"/>
              </w:rPr>
            </w:pPr>
            <w:r>
              <w:rPr>
                <w:rFonts w:ascii="Arial;Helvetica;sans-serif" w:hAnsi="Arial;Helvetica;sans-serif"/>
                <w:sz w:val="18"/>
              </w:rPr>
              <w:t>(Unaudited)</w:t>
            </w:r>
          </w:p>
        </w:tc>
      </w:tr>
      <w:tr>
        <w:trPr/>
        <w:tc>
          <w:tcPr>
            <w:tcW w:w="3507" w:type="dxa"/>
            <w:tcBorders/>
            <w:vAlign w:val="center"/>
          </w:tcPr>
          <w:p>
            <w:pPr>
              <w:pStyle w:val="TableContents"/>
              <w:bidi w:val="0"/>
              <w:spacing w:lineRule="auto" w:line="328" w:before="0" w:after="200"/>
              <w:ind w:left="0" w:right="0" w:hanging="0"/>
              <w:jc w:val="left"/>
              <w:rPr/>
            </w:pPr>
            <w:r>
              <w:rPr/>
              <w:t>​</w:t>
            </w:r>
          </w:p>
        </w:tc>
        <w:tc>
          <w:tcPr>
            <w:tcW w:w="470" w:type="dxa"/>
            <w:tcBorders/>
            <w:vAlign w:val="center"/>
          </w:tcPr>
          <w:p>
            <w:pPr>
              <w:pStyle w:val="TableContents"/>
              <w:bidi w:val="0"/>
              <w:spacing w:lineRule="auto" w:line="328" w:before="0" w:after="200"/>
              <w:ind w:left="0" w:right="0" w:hanging="0"/>
              <w:jc w:val="left"/>
              <w:rPr/>
            </w:pPr>
            <w:r>
              <w:rPr/>
              <w:t>​</w:t>
            </w:r>
          </w:p>
        </w:tc>
        <w:tc>
          <w:tcPr>
            <w:tcW w:w="385" w:type="dxa"/>
            <w:tcBorders/>
            <w:vAlign w:val="center"/>
          </w:tcPr>
          <w:p>
            <w:pPr>
              <w:pStyle w:val="TableContents"/>
              <w:bidi w:val="0"/>
              <w:spacing w:lineRule="auto" w:line="328" w:before="0" w:after="200"/>
              <w:ind w:left="0" w:right="0" w:hanging="0"/>
              <w:jc w:val="center"/>
              <w:rPr/>
            </w:pPr>
            <w:r>
              <w:rPr/>
              <w:t>​</w:t>
            </w:r>
          </w:p>
        </w:tc>
        <w:tc>
          <w:tcPr>
            <w:tcW w:w="1430" w:type="dxa"/>
            <w:tcBorders/>
            <w:vAlign w:val="center"/>
          </w:tcPr>
          <w:p>
            <w:pPr>
              <w:pStyle w:val="TableContents"/>
              <w:bidi w:val="0"/>
              <w:spacing w:lineRule="auto" w:line="328" w:before="0" w:after="200"/>
              <w:ind w:left="0" w:right="0" w:hanging="0"/>
              <w:jc w:val="center"/>
              <w:rPr/>
            </w:pPr>
            <w:r>
              <w:rPr/>
              <w:t>​</w:t>
            </w:r>
          </w:p>
        </w:tc>
      </w:tr>
      <w:tr>
        <w:trPr/>
        <w:tc>
          <w:tcPr>
            <w:tcW w:w="3507" w:type="dxa"/>
            <w:tcBorders/>
            <w:vAlign w:val="center"/>
          </w:tcPr>
          <w:p>
            <w:pPr>
              <w:pStyle w:val="TableContents"/>
              <w:bidi w:val="0"/>
              <w:spacing w:lineRule="auto" w:line="328" w:before="0" w:after="200"/>
              <w:ind w:left="0" w:right="0" w:hanging="0"/>
              <w:jc w:val="left"/>
              <w:rPr/>
            </w:pPr>
            <w:r>
              <w:rPr/>
              <w:t>​</w:t>
            </w:r>
          </w:p>
        </w:tc>
        <w:tc>
          <w:tcPr>
            <w:tcW w:w="470" w:type="dxa"/>
            <w:tcBorders/>
            <w:vAlign w:val="center"/>
          </w:tcPr>
          <w:p>
            <w:pPr>
              <w:pStyle w:val="TableContents"/>
              <w:bidi w:val="0"/>
              <w:spacing w:lineRule="auto" w:line="328" w:before="0" w:after="200"/>
              <w:ind w:left="0" w:right="0" w:hanging="0"/>
              <w:jc w:val="left"/>
              <w:rPr/>
            </w:pPr>
            <w:r>
              <w:rPr/>
              <w:t>​</w:t>
            </w:r>
          </w:p>
        </w:tc>
        <w:tc>
          <w:tcPr>
            <w:tcW w:w="1815" w:type="dxa"/>
            <w:gridSpan w:val="2"/>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Year Ended</w:t>
            </w:r>
          </w:p>
        </w:tc>
      </w:tr>
      <w:tr>
        <w:trPr/>
        <w:tc>
          <w:tcPr>
            <w:tcW w:w="3507" w:type="dxa"/>
            <w:tcBorders>
              <w:bottom w:val="single" w:sz="2" w:space="0" w:color="000000"/>
            </w:tcBorders>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(Dollars in thousands)</w:t>
            </w:r>
          </w:p>
        </w:tc>
        <w:tc>
          <w:tcPr>
            <w:tcW w:w="470" w:type="dxa"/>
            <w:tcBorders/>
            <w:vAlign w:val="center"/>
          </w:tcPr>
          <w:p>
            <w:pPr>
              <w:pStyle w:val="TableContents"/>
              <w:bidi w:val="0"/>
              <w:spacing w:lineRule="auto" w:line="328" w:before="1" w:after="1"/>
              <w:ind w:left="0" w:right="0" w:hanging="0"/>
              <w:jc w:val="left"/>
              <w:rPr/>
            </w:pPr>
            <w:r>
              <w:rPr/>
              <w:t>  ​ ​ ​</w:t>
            </w:r>
          </w:p>
        </w:tc>
        <w:tc>
          <w:tcPr>
            <w:tcW w:w="1815"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December 31, 2025</w:t>
            </w:r>
          </w:p>
        </w:tc>
      </w:tr>
      <w:tr>
        <w:trPr/>
        <w:tc>
          <w:tcPr>
            <w:tcW w:w="3507"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b/>
                <w:sz w:val="18"/>
              </w:rPr>
            </w:pPr>
            <w:r>
              <w:rPr>
                <w:rFonts w:ascii="Arial;Helvetica;sans-serif" w:hAnsi="Arial;Helvetica;sans-serif"/>
                <w:b/>
                <w:sz w:val="18"/>
              </w:rPr>
              <w:t>Net income</w:t>
            </w:r>
          </w:p>
        </w:tc>
        <w:tc>
          <w:tcPr>
            <w:tcW w:w="470" w:type="dxa"/>
            <w:tcBorders/>
            <w:shd w:fill="CCEEFF" w:val="clear"/>
            <w:vAlign w:val="center"/>
          </w:tcPr>
          <w:p>
            <w:pPr>
              <w:pStyle w:val="TableContents"/>
              <w:bidi w:val="0"/>
              <w:spacing w:lineRule="auto" w:line="328" w:before="1" w:after="1"/>
              <w:ind w:left="0" w:right="0" w:hanging="0"/>
              <w:jc w:val="left"/>
              <w:rPr/>
            </w:pPr>
            <w:r>
              <w:rPr/>
              <w:t> </w:t>
            </w:r>
          </w:p>
        </w:tc>
        <w:tc>
          <w:tcPr>
            <w:tcW w:w="385"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1430"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19,086</w:t>
            </w:r>
          </w:p>
        </w:tc>
      </w:tr>
      <w:tr>
        <w:trPr/>
        <w:tc>
          <w:tcPr>
            <w:tcW w:w="3507"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Interest (income) expense, net</w:t>
            </w:r>
          </w:p>
        </w:tc>
        <w:tc>
          <w:tcPr>
            <w:tcW w:w="470" w:type="dxa"/>
            <w:tcBorders/>
            <w:vAlign w:val="center"/>
          </w:tcPr>
          <w:p>
            <w:pPr>
              <w:pStyle w:val="TableContents"/>
              <w:bidi w:val="0"/>
              <w:spacing w:lineRule="auto" w:line="328" w:before="0" w:after="200"/>
              <w:ind w:left="0" w:right="0" w:hanging="0"/>
              <w:jc w:val="left"/>
              <w:rPr/>
            </w:pPr>
            <w:r>
              <w:rPr/>
              <w:t>​</w:t>
            </w:r>
          </w:p>
        </w:tc>
        <w:tc>
          <w:tcPr>
            <w:tcW w:w="385" w:type="dxa"/>
            <w:tcBorders/>
            <w:vAlign w:val="center"/>
          </w:tcPr>
          <w:p>
            <w:pPr>
              <w:pStyle w:val="TableContents"/>
              <w:bidi w:val="0"/>
              <w:spacing w:lineRule="auto" w:line="328" w:before="0" w:after="200"/>
              <w:ind w:left="0" w:right="0" w:hanging="0"/>
              <w:jc w:val="left"/>
              <w:rPr/>
            </w:pPr>
            <w:r>
              <w:rPr/>
              <w:t>​</w:t>
            </w:r>
          </w:p>
        </w:tc>
        <w:tc>
          <w:tcPr>
            <w:tcW w:w="1430"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(2,059)</w:t>
            </w:r>
          </w:p>
        </w:tc>
      </w:tr>
      <w:tr>
        <w:trPr/>
        <w:tc>
          <w:tcPr>
            <w:tcW w:w="3507"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Income tax expense</w:t>
            </w:r>
          </w:p>
        </w:tc>
        <w:tc>
          <w:tcPr>
            <w:tcW w:w="470" w:type="dxa"/>
            <w:tcBorders/>
            <w:shd w:fill="CCEEFF" w:val="clear"/>
            <w:vAlign w:val="center"/>
          </w:tcPr>
          <w:p>
            <w:pPr>
              <w:pStyle w:val="TableContents"/>
              <w:bidi w:val="0"/>
              <w:spacing w:lineRule="auto" w:line="328" w:before="0" w:after="200"/>
              <w:ind w:left="0" w:right="0" w:hanging="0"/>
              <w:jc w:val="left"/>
              <w:rPr/>
            </w:pPr>
            <w:r>
              <w:rPr/>
              <w:t>​</w:t>
            </w:r>
          </w:p>
        </w:tc>
        <w:tc>
          <w:tcPr>
            <w:tcW w:w="385" w:type="dxa"/>
            <w:tcBorders/>
            <w:shd w:fill="CCEEFF" w:val="clear"/>
            <w:vAlign w:val="center"/>
          </w:tcPr>
          <w:p>
            <w:pPr>
              <w:pStyle w:val="TableContents"/>
              <w:bidi w:val="0"/>
              <w:spacing w:lineRule="auto" w:line="328" w:before="0" w:after="200"/>
              <w:ind w:left="0" w:right="0" w:hanging="0"/>
              <w:jc w:val="left"/>
              <w:rPr/>
            </w:pPr>
            <w:r>
              <w:rPr/>
              <w:t>​</w:t>
            </w:r>
          </w:p>
        </w:tc>
        <w:tc>
          <w:tcPr>
            <w:tcW w:w="1430"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12,253</w:t>
            </w:r>
          </w:p>
        </w:tc>
      </w:tr>
      <w:tr>
        <w:trPr/>
        <w:tc>
          <w:tcPr>
            <w:tcW w:w="3507"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470" w:type="dxa"/>
            <w:tcBorders/>
            <w:vAlign w:val="center"/>
          </w:tcPr>
          <w:p>
            <w:pPr>
              <w:pStyle w:val="TableContents"/>
              <w:bidi w:val="0"/>
              <w:spacing w:lineRule="auto" w:line="328" w:before="0" w:after="200"/>
              <w:ind w:left="0" w:right="0" w:hanging="0"/>
              <w:jc w:val="left"/>
              <w:rPr/>
            </w:pPr>
            <w:r>
              <w:rPr/>
              <w:t>​</w:t>
            </w:r>
          </w:p>
        </w:tc>
        <w:tc>
          <w:tcPr>
            <w:tcW w:w="385" w:type="dxa"/>
            <w:tcBorders/>
            <w:vAlign w:val="center"/>
          </w:tcPr>
          <w:p>
            <w:pPr>
              <w:pStyle w:val="TableContents"/>
              <w:bidi w:val="0"/>
              <w:spacing w:lineRule="auto" w:line="328" w:before="0" w:after="200"/>
              <w:ind w:left="0" w:right="0" w:hanging="0"/>
              <w:jc w:val="left"/>
              <w:rPr/>
            </w:pPr>
            <w:r>
              <w:rPr/>
              <w:t>​</w:t>
            </w:r>
          </w:p>
        </w:tc>
        <w:tc>
          <w:tcPr>
            <w:tcW w:w="1430"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6,644</w:t>
            </w:r>
          </w:p>
        </w:tc>
      </w:tr>
      <w:tr>
        <w:trPr/>
        <w:tc>
          <w:tcPr>
            <w:tcW w:w="3507"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Stock-based compensation</w:t>
            </w:r>
          </w:p>
        </w:tc>
        <w:tc>
          <w:tcPr>
            <w:tcW w:w="470" w:type="dxa"/>
            <w:tcBorders/>
            <w:shd w:fill="CCEEFF" w:val="clear"/>
            <w:vAlign w:val="center"/>
          </w:tcPr>
          <w:p>
            <w:pPr>
              <w:pStyle w:val="TableContents"/>
              <w:bidi w:val="0"/>
              <w:spacing w:lineRule="auto" w:line="328" w:before="0" w:after="200"/>
              <w:ind w:left="0" w:right="0" w:hanging="0"/>
              <w:jc w:val="left"/>
              <w:rPr/>
            </w:pPr>
            <w:r>
              <w:rPr/>
              <w:t>​</w:t>
            </w:r>
          </w:p>
        </w:tc>
        <w:tc>
          <w:tcPr>
            <w:tcW w:w="385" w:type="dxa"/>
            <w:tcBorders/>
            <w:shd w:fill="CCEEFF" w:val="clear"/>
            <w:vAlign w:val="center"/>
          </w:tcPr>
          <w:p>
            <w:pPr>
              <w:pStyle w:val="TableContents"/>
              <w:bidi w:val="0"/>
              <w:spacing w:lineRule="auto" w:line="328" w:before="0" w:after="200"/>
              <w:ind w:left="0" w:right="0" w:hanging="0"/>
              <w:jc w:val="left"/>
              <w:rPr/>
            </w:pPr>
            <w:r>
              <w:rPr/>
              <w:t>​</w:t>
            </w:r>
          </w:p>
        </w:tc>
        <w:tc>
          <w:tcPr>
            <w:tcW w:w="1430"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8,357</w:t>
            </w:r>
          </w:p>
        </w:tc>
      </w:tr>
      <w:tr>
        <w:trPr/>
        <w:tc>
          <w:tcPr>
            <w:tcW w:w="3507"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Executive transition costs</w:t>
            </w:r>
          </w:p>
        </w:tc>
        <w:tc>
          <w:tcPr>
            <w:tcW w:w="470" w:type="dxa"/>
            <w:tcBorders/>
            <w:vAlign w:val="center"/>
          </w:tcPr>
          <w:p>
            <w:pPr>
              <w:pStyle w:val="TableContents"/>
              <w:bidi w:val="0"/>
              <w:spacing w:lineRule="auto" w:line="328" w:before="0" w:after="20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491</w:t>
            </w:r>
          </w:p>
        </w:tc>
      </w:tr>
      <w:tr>
        <w:trPr/>
        <w:tc>
          <w:tcPr>
            <w:tcW w:w="3507"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b/>
                <w:sz w:val="18"/>
              </w:rPr>
            </w:pPr>
            <w:r>
              <w:rPr>
                <w:rFonts w:ascii="Arial;Helvetica;sans-serif" w:hAnsi="Arial;Helvetica;sans-serif"/>
                <w:b/>
                <w:sz w:val="18"/>
              </w:rPr>
              <w:t>Adjusted EBITDA</w:t>
            </w:r>
          </w:p>
        </w:tc>
        <w:tc>
          <w:tcPr>
            <w:tcW w:w="470" w:type="dxa"/>
            <w:tcBorders/>
            <w:shd w:fill="CCEEFF" w:val="clear"/>
            <w:vAlign w:val="center"/>
          </w:tcPr>
          <w:p>
            <w:pPr>
              <w:pStyle w:val="TableContents"/>
              <w:bidi w:val="0"/>
              <w:spacing w:lineRule="auto" w:line="328" w:before="0" w:after="200"/>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1430" w:type="dxa"/>
            <w:tcBorders>
              <w:bottom w:val="double" w:sz="6" w:space="0" w:color="000000"/>
            </w:tcBorders>
            <w:shd w:fill="CCEEFF" w:val="clear"/>
            <w:tcMar>
              <w:bottom w:w="28" w:type="dxa"/>
            </w:tcMar>
            <w:vAlign w:val="center"/>
          </w:tcPr>
          <w:p>
            <w:pPr>
              <w:pStyle w:val="TableContents"/>
              <w:bidi w:val="0"/>
              <w:spacing w:lineRule="auto" w:line="328" w:before="1" w:after="1"/>
              <w:ind w:left="0" w:right="60" w:hanging="0"/>
              <w:jc w:val="right"/>
              <w:rPr>
                <w:rFonts w:ascii="Arial;Helvetica;sans-serif" w:hAnsi="Arial;Helvetica;sans-serif"/>
                <w:sz w:val="18"/>
              </w:rPr>
            </w:pPr>
            <w:r>
              <w:rPr>
                <w:rFonts w:ascii="Arial;Helvetica;sans-serif" w:hAnsi="Arial;Helvetica;sans-serif"/>
                <w:sz w:val="18"/>
              </w:rPr>
              <w:t>44,772</w:t>
            </w:r>
          </w:p>
        </w:tc>
      </w:tr>
    </w:tbl>
    <w:p>
      <w:pPr>
        <w:pStyle w:val="TextBody"/>
        <w:pBdr/>
        <w:shd w:fill="FFFFFF" w:val="clear"/>
        <w:bidi w:val="0"/>
        <w:spacing w:lineRule="auto" w:line="285" w:before="100" w:after="100"/>
        <w:ind w:left="0" w:right="0" w:hanging="0"/>
        <w:jc w:val="both"/>
        <w:rPr>
          <w:shd w:fill="FFFF00" w:val="clear"/>
        </w:rPr>
      </w:pPr>
      <w:r>
        <w:rPr>
          <w:shd w:fill="FFFF00" w:val="clear"/>
        </w:rPr>
        <w:t>​</w:t>
      </w:r>
    </w:p>
    <w:p>
      <w:pPr>
        <w:pStyle w:val="TextBody"/>
        <w:pBdr/>
        <w:shd w:fill="FFFFFF" w:val="clear"/>
        <w:bidi w:val="0"/>
        <w:spacing w:lineRule="auto" w:line="285" w:before="0" w:after="100"/>
        <w:ind w:left="0" w:right="0" w:hanging="0"/>
        <w:jc w:val="both"/>
        <w:rPr>
          <w:shd w:fill="FFFF00" w:val="clear"/>
        </w:rPr>
      </w:pPr>
      <w:r>
        <w:rPr>
          <w:shd w:fill="FFFF00" w:val="clear"/>
        </w:rPr>
        <w:t>​</w:t>
      </w:r>
    </w:p>
    <w:p>
      <w:pPr>
        <w:pStyle w:val="TextBody"/>
        <w:shd w:fill="FFFFFF" w:val="clear"/>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The following table contains a reconciliation of GAAP net income guidance range to the Adjusted EBITDA guidance range for the twelve months ending December 31, 2026:</w:t>
      </w:r>
    </w:p>
    <w:tbl>
      <w:tblPr>
        <w:tblW w:w="6506" w:type="dxa"/>
        <w:jc w:val="left"/>
        <w:tblInd w:w="0" w:type="dxa"/>
        <w:tblLayout w:type="fixed"/>
        <w:tblCellMar>
          <w:top w:w="0" w:type="dxa"/>
          <w:left w:w="0" w:type="dxa"/>
          <w:bottom w:w="0" w:type="dxa"/>
          <w:right w:w="0" w:type="dxa"/>
        </w:tblCellMar>
      </w:tblPr>
      <w:tblGrid>
        <w:gridCol w:w="3252"/>
        <w:gridCol w:w="435"/>
        <w:gridCol w:w="265"/>
        <w:gridCol w:w="870"/>
        <w:gridCol w:w="435"/>
        <w:gridCol w:w="265"/>
        <w:gridCol w:w="984"/>
      </w:tblGrid>
      <w:tr>
        <w:trPr/>
        <w:tc>
          <w:tcPr>
            <w:tcW w:w="3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65020" cy="175260"/>
                      <wp:effectExtent l="0" t="0" r="0" b="0"/>
                      <wp:wrapNone/>
                      <wp:docPr id="75" name="Frame75"/>
                      <a:graphic xmlns:a="http://schemas.openxmlformats.org/drawingml/2006/main">
                        <a:graphicData uri="http://schemas.microsoft.com/office/word/2010/wordprocessingShape">
                          <wps:wsp>
                            <wps:cNvSpPr txBox="1"/>
                            <wps:spPr>
                              <a:xfrm>
                                <a:off x="0" y="0"/>
                                <a:ext cx="206502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76225" cy="175260"/>
                      <wp:effectExtent l="0" t="0" r="0" b="0"/>
                      <wp:wrapNone/>
                      <wp:docPr id="76" name="Frame76"/>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8275" cy="175260"/>
                      <wp:effectExtent l="0" t="0" r="0" b="0"/>
                      <wp:wrapNone/>
                      <wp:docPr id="77" name="Frame7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52450" cy="175260"/>
                      <wp:effectExtent l="0" t="0" r="0" b="0"/>
                      <wp:wrapNone/>
                      <wp:docPr id="78" name="Frame78"/>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76225" cy="175260"/>
                      <wp:effectExtent l="0" t="0" r="0" b="0"/>
                      <wp:wrapNone/>
                      <wp:docPr id="79" name="Frame79"/>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8275" cy="175260"/>
                      <wp:effectExtent l="0" t="0" r="0" b="0"/>
                      <wp:wrapNone/>
                      <wp:docPr id="80" name="Frame8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24840" cy="175260"/>
                      <wp:effectExtent l="0" t="0" r="0" b="0"/>
                      <wp:wrapNone/>
                      <wp:docPr id="81" name="Frame8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lineRule="auto" w:line="328" w:before="0" w:after="20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200"/>
                              <w:ind w:left="0" w:right="0" w:hanging="0"/>
                              <w:jc w:val="left"/>
                              <w:rPr/>
                            </w:pPr>
                            <w:r>
                              <w:rPr/>
                              <w:t>​</w:t>
                            </w:r>
                          </w:p>
                        </w:txbxContent>
                      </v:textbox>
                      <w10:wrap type="none"/>
                    </v:rect>
                  </w:pict>
                </mc:Fallback>
              </mc:AlternateContent>
            </w:r>
          </w:p>
        </w:tc>
      </w:tr>
      <w:tr>
        <w:trPr/>
        <w:tc>
          <w:tcPr>
            <w:tcW w:w="6506" w:type="dxa"/>
            <w:gridSpan w:val="7"/>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Tactile Systems Technology, Inc.</w:t>
            </w:r>
          </w:p>
        </w:tc>
      </w:tr>
      <w:tr>
        <w:trPr/>
        <w:tc>
          <w:tcPr>
            <w:tcW w:w="6506" w:type="dxa"/>
            <w:gridSpan w:val="7"/>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Reconciliation of FY 2026 GAAP Net Income to Adjusted EBITDA Guidance</w:t>
            </w:r>
          </w:p>
        </w:tc>
      </w:tr>
      <w:tr>
        <w:trPr/>
        <w:tc>
          <w:tcPr>
            <w:tcW w:w="6506" w:type="dxa"/>
            <w:gridSpan w:val="7"/>
            <w:tcBorders/>
            <w:vAlign w:val="center"/>
          </w:tcPr>
          <w:p>
            <w:pPr>
              <w:pStyle w:val="TableContents"/>
              <w:bidi w:val="0"/>
              <w:spacing w:lineRule="auto" w:line="328" w:before="1" w:after="1"/>
              <w:ind w:left="0" w:right="0" w:hanging="0"/>
              <w:jc w:val="center"/>
              <w:rPr>
                <w:rFonts w:ascii="Arial;Helvetica;sans-serif" w:hAnsi="Arial;Helvetica;sans-serif"/>
                <w:sz w:val="18"/>
              </w:rPr>
            </w:pPr>
            <w:r>
              <w:rPr>
                <w:rFonts w:ascii="Arial;Helvetica;sans-serif" w:hAnsi="Arial;Helvetica;sans-serif"/>
                <w:sz w:val="18"/>
              </w:rPr>
              <w:t>(Unaudited)</w:t>
            </w:r>
          </w:p>
        </w:tc>
      </w:tr>
      <w:tr>
        <w:trPr/>
        <w:tc>
          <w:tcPr>
            <w:tcW w:w="3252" w:type="dxa"/>
            <w:tcBorders/>
            <w:vAlign w:val="center"/>
          </w:tcPr>
          <w:p>
            <w:pPr>
              <w:pStyle w:val="TableContents"/>
              <w:bidi w:val="0"/>
              <w:spacing w:lineRule="auto" w:line="328" w:before="0" w:after="200"/>
              <w:ind w:left="0" w:right="0" w:hanging="0"/>
              <w:jc w:val="left"/>
              <w:rPr/>
            </w:pPr>
            <w:r>
              <w:rPr/>
              <w:t>​</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vAlign w:val="center"/>
          </w:tcPr>
          <w:p>
            <w:pPr>
              <w:pStyle w:val="TableContents"/>
              <w:bidi w:val="0"/>
              <w:spacing w:lineRule="auto" w:line="328" w:before="0" w:after="200"/>
              <w:ind w:left="0" w:right="0" w:hanging="0"/>
              <w:jc w:val="center"/>
              <w:rPr/>
            </w:pPr>
            <w:r>
              <w:rPr/>
              <w:t>​</w:t>
            </w:r>
          </w:p>
        </w:tc>
        <w:tc>
          <w:tcPr>
            <w:tcW w:w="870" w:type="dxa"/>
            <w:tcBorders/>
            <w:vAlign w:val="center"/>
          </w:tcPr>
          <w:p>
            <w:pPr>
              <w:pStyle w:val="TableContents"/>
              <w:bidi w:val="0"/>
              <w:spacing w:lineRule="auto" w:line="328" w:before="0" w:after="200"/>
              <w:ind w:left="0" w:right="0" w:hanging="0"/>
              <w:jc w:val="center"/>
              <w:rPr/>
            </w:pPr>
            <w:r>
              <w:rPr/>
              <w:t>​</w:t>
            </w:r>
          </w:p>
        </w:tc>
        <w:tc>
          <w:tcPr>
            <w:tcW w:w="435" w:type="dxa"/>
            <w:tcBorders/>
            <w:vAlign w:val="center"/>
          </w:tcPr>
          <w:p>
            <w:pPr>
              <w:pStyle w:val="TableContents"/>
              <w:bidi w:val="0"/>
              <w:spacing w:lineRule="auto" w:line="328" w:before="0" w:after="200"/>
              <w:ind w:left="0" w:right="0" w:hanging="0"/>
              <w:jc w:val="center"/>
              <w:rPr/>
            </w:pPr>
            <w:r>
              <w:rPr/>
              <w:t>​</w:t>
            </w:r>
          </w:p>
        </w:tc>
        <w:tc>
          <w:tcPr>
            <w:tcW w:w="265" w:type="dxa"/>
            <w:tcBorders/>
            <w:vAlign w:val="center"/>
          </w:tcPr>
          <w:p>
            <w:pPr>
              <w:pStyle w:val="TableContents"/>
              <w:bidi w:val="0"/>
              <w:spacing w:lineRule="auto" w:line="328" w:before="0" w:after="200"/>
              <w:ind w:left="0" w:right="0" w:hanging="0"/>
              <w:jc w:val="center"/>
              <w:rPr/>
            </w:pPr>
            <w:r>
              <w:rPr/>
              <w:t>​</w:t>
            </w:r>
          </w:p>
        </w:tc>
        <w:tc>
          <w:tcPr>
            <w:tcW w:w="984" w:type="dxa"/>
            <w:tcBorders/>
            <w:vAlign w:val="center"/>
          </w:tcPr>
          <w:p>
            <w:pPr>
              <w:pStyle w:val="TableContents"/>
              <w:bidi w:val="0"/>
              <w:spacing w:lineRule="auto" w:line="328" w:before="0" w:after="200"/>
              <w:ind w:left="0" w:right="0" w:hanging="0"/>
              <w:jc w:val="center"/>
              <w:rPr/>
            </w:pPr>
            <w:r>
              <w:rPr/>
              <w:t>​</w:t>
            </w:r>
          </w:p>
        </w:tc>
      </w:tr>
      <w:tr>
        <w:trPr/>
        <w:tc>
          <w:tcPr>
            <w:tcW w:w="3252" w:type="dxa"/>
            <w:tcBorders/>
            <w:vAlign w:val="center"/>
          </w:tcPr>
          <w:p>
            <w:pPr>
              <w:pStyle w:val="TableContents"/>
              <w:bidi w:val="0"/>
              <w:spacing w:lineRule="auto" w:line="328" w:before="0" w:after="200"/>
              <w:ind w:left="0" w:right="0" w:hanging="0"/>
              <w:jc w:val="left"/>
              <w:rPr/>
            </w:pPr>
            <w:r>
              <w:rPr/>
              <w:t>​</w:t>
            </w:r>
          </w:p>
        </w:tc>
        <w:tc>
          <w:tcPr>
            <w:tcW w:w="435" w:type="dxa"/>
            <w:tcBorders/>
            <w:vAlign w:val="center"/>
          </w:tcPr>
          <w:p>
            <w:pPr>
              <w:pStyle w:val="TableContents"/>
              <w:bidi w:val="0"/>
              <w:spacing w:lineRule="auto" w:line="328" w:before="0" w:after="200"/>
              <w:ind w:left="0" w:right="0" w:hanging="0"/>
              <w:jc w:val="left"/>
              <w:rPr/>
            </w:pPr>
            <w:r>
              <w:rPr/>
              <w:t>​</w:t>
            </w:r>
          </w:p>
        </w:tc>
        <w:tc>
          <w:tcPr>
            <w:tcW w:w="2819" w:type="dxa"/>
            <w:gridSpan w:val="5"/>
            <w:tcBorders/>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Year Ended</w:t>
            </w:r>
          </w:p>
        </w:tc>
      </w:tr>
      <w:tr>
        <w:trPr/>
        <w:tc>
          <w:tcPr>
            <w:tcW w:w="3252" w:type="dxa"/>
            <w:tcBorders/>
            <w:vAlign w:val="center"/>
          </w:tcPr>
          <w:p>
            <w:pPr>
              <w:pStyle w:val="TableContents"/>
              <w:bidi w:val="0"/>
              <w:spacing w:lineRule="auto" w:line="328" w:before="0" w:after="200"/>
              <w:ind w:left="0" w:right="0" w:hanging="0"/>
              <w:jc w:val="left"/>
              <w:rPr/>
            </w:pPr>
            <w:r>
              <w:rPr/>
              <w:t>​</w:t>
            </w:r>
          </w:p>
        </w:tc>
        <w:tc>
          <w:tcPr>
            <w:tcW w:w="435" w:type="dxa"/>
            <w:tcBorders/>
            <w:vAlign w:val="center"/>
          </w:tcPr>
          <w:p>
            <w:pPr>
              <w:pStyle w:val="TableContents"/>
              <w:bidi w:val="0"/>
              <w:spacing w:lineRule="auto" w:line="328" w:before="0" w:after="200"/>
              <w:ind w:left="0" w:right="0" w:hanging="0"/>
              <w:jc w:val="left"/>
              <w:rPr/>
            </w:pPr>
            <w:r>
              <w:rPr/>
              <w:t>​</w:t>
            </w:r>
          </w:p>
        </w:tc>
        <w:tc>
          <w:tcPr>
            <w:tcW w:w="2819" w:type="dxa"/>
            <w:gridSpan w:val="5"/>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December 31, 2026</w:t>
            </w:r>
          </w:p>
        </w:tc>
      </w:tr>
      <w:tr>
        <w:trPr/>
        <w:tc>
          <w:tcPr>
            <w:tcW w:w="3252" w:type="dxa"/>
            <w:tcBorders>
              <w:bottom w:val="single" w:sz="2" w:space="0" w:color="000000"/>
            </w:tcBorders>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(Dollars in thousands)</w:t>
            </w:r>
          </w:p>
        </w:tc>
        <w:tc>
          <w:tcPr>
            <w:tcW w:w="435" w:type="dxa"/>
            <w:tcBorders/>
            <w:vAlign w:val="center"/>
          </w:tcPr>
          <w:p>
            <w:pPr>
              <w:pStyle w:val="TableContents"/>
              <w:bidi w:val="0"/>
              <w:spacing w:lineRule="auto" w:line="328" w:before="1"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Low</w:t>
            </w:r>
          </w:p>
        </w:tc>
        <w:tc>
          <w:tcPr>
            <w:tcW w:w="435" w:type="dxa"/>
            <w:tcBorders/>
            <w:vAlign w:val="center"/>
          </w:tcPr>
          <w:p>
            <w:pPr>
              <w:pStyle w:val="TableContents"/>
              <w:bidi w:val="0"/>
              <w:spacing w:lineRule="auto" w:line="328" w:before="1" w:after="1"/>
              <w:ind w:left="0" w:right="0" w:hanging="0"/>
              <w:jc w:val="left"/>
              <w:rPr/>
            </w:pPr>
            <w:r>
              <w:rPr/>
              <w:t>  ​ ​ ​</w:t>
            </w:r>
          </w:p>
        </w:tc>
        <w:tc>
          <w:tcPr>
            <w:tcW w:w="1249" w:type="dxa"/>
            <w:gridSpan w:val="2"/>
            <w:tcBorders>
              <w:bottom w:val="single" w:sz="2" w:space="0" w:color="000000"/>
            </w:tcBorders>
            <w:tcMar>
              <w:bottom w:w="28" w:type="dxa"/>
            </w:tcMar>
            <w:vAlign w:val="center"/>
          </w:tcPr>
          <w:p>
            <w:pPr>
              <w:pStyle w:val="TableContents"/>
              <w:bidi w:val="0"/>
              <w:spacing w:lineRule="auto" w:line="328" w:before="1" w:after="1"/>
              <w:ind w:left="0" w:right="0" w:hanging="0"/>
              <w:jc w:val="center"/>
              <w:rPr>
                <w:rFonts w:ascii="Arial;Helvetica;sans-serif" w:hAnsi="Arial;Helvetica;sans-serif"/>
                <w:b/>
                <w:sz w:val="18"/>
              </w:rPr>
            </w:pPr>
            <w:r>
              <w:rPr>
                <w:rFonts w:ascii="Arial;Helvetica;sans-serif" w:hAnsi="Arial;Helvetica;sans-serif"/>
                <w:b/>
                <w:sz w:val="18"/>
              </w:rPr>
              <w:t>High</w:t>
            </w:r>
          </w:p>
        </w:tc>
      </w:tr>
      <w:tr>
        <w:trPr/>
        <w:tc>
          <w:tcPr>
            <w:tcW w:w="3252"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b/>
                <w:sz w:val="18"/>
              </w:rPr>
            </w:pPr>
            <w:r>
              <w:rPr>
                <w:rFonts w:ascii="Arial;Helvetica;sans-serif" w:hAnsi="Arial;Helvetica;sans-serif"/>
                <w:b/>
                <w:sz w:val="18"/>
              </w:rPr>
              <w:t>Net income</w:t>
            </w:r>
          </w:p>
        </w:tc>
        <w:tc>
          <w:tcPr>
            <w:tcW w:w="435" w:type="dxa"/>
            <w:tcBorders/>
            <w:shd w:fill="CCEEFF" w:val="clear"/>
            <w:vAlign w:val="center"/>
          </w:tcPr>
          <w:p>
            <w:pPr>
              <w:pStyle w:val="TableContents"/>
              <w:bidi w:val="0"/>
              <w:spacing w:lineRule="auto" w:line="328" w:before="1" w:after="1"/>
              <w:ind w:left="0" w:right="0" w:hanging="0"/>
              <w:jc w:val="left"/>
              <w:rPr/>
            </w:pPr>
            <w:r>
              <w:rPr/>
              <w:t> </w:t>
            </w:r>
          </w:p>
        </w:tc>
        <w:tc>
          <w:tcPr>
            <w:tcW w:w="265"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870"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23,230</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984"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24,670</w:t>
            </w:r>
          </w:p>
        </w:tc>
      </w:tr>
      <w:tr>
        <w:trPr/>
        <w:tc>
          <w:tcPr>
            <w:tcW w:w="3252"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Interest (income) expense, net</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vAlign w:val="center"/>
          </w:tcPr>
          <w:p>
            <w:pPr>
              <w:pStyle w:val="TableContents"/>
              <w:bidi w:val="0"/>
              <w:spacing w:lineRule="auto" w:line="328" w:before="0" w:after="200"/>
              <w:ind w:left="0" w:right="0" w:hanging="0"/>
              <w:jc w:val="left"/>
              <w:rPr/>
            </w:pPr>
            <w:r>
              <w:rPr/>
              <w:t>​</w:t>
            </w:r>
          </w:p>
        </w:tc>
        <w:tc>
          <w:tcPr>
            <w:tcW w:w="870"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(2,380)</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vAlign w:val="center"/>
          </w:tcPr>
          <w:p>
            <w:pPr>
              <w:pStyle w:val="TableContents"/>
              <w:bidi w:val="0"/>
              <w:spacing w:lineRule="auto" w:line="328" w:before="0" w:after="200"/>
              <w:ind w:left="0" w:right="0" w:hanging="0"/>
              <w:jc w:val="left"/>
              <w:rPr/>
            </w:pPr>
            <w:r>
              <w:rPr/>
              <w:t>​</w:t>
            </w:r>
          </w:p>
        </w:tc>
        <w:tc>
          <w:tcPr>
            <w:tcW w:w="984"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(2,380)</w:t>
            </w:r>
          </w:p>
        </w:tc>
      </w:tr>
      <w:tr>
        <w:trPr/>
        <w:tc>
          <w:tcPr>
            <w:tcW w:w="3252"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Income tax expense</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9,420</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shd w:fill="CCEEFF" w:val="clear"/>
            <w:vAlign w:val="center"/>
          </w:tcPr>
          <w:p>
            <w:pPr>
              <w:pStyle w:val="TableContents"/>
              <w:bidi w:val="0"/>
              <w:spacing w:lineRule="auto" w:line="328" w:before="0" w:after="200"/>
              <w:ind w:left="0" w:right="0" w:hanging="0"/>
              <w:jc w:val="left"/>
              <w:rPr/>
            </w:pPr>
            <w:r>
              <w:rPr/>
              <w:t>​</w:t>
            </w:r>
          </w:p>
        </w:tc>
        <w:tc>
          <w:tcPr>
            <w:tcW w:w="984"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9,980</w:t>
            </w:r>
          </w:p>
        </w:tc>
      </w:tr>
      <w:tr>
        <w:trPr/>
        <w:tc>
          <w:tcPr>
            <w:tcW w:w="3252"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vAlign w:val="center"/>
          </w:tcPr>
          <w:p>
            <w:pPr>
              <w:pStyle w:val="TableContents"/>
              <w:bidi w:val="0"/>
              <w:spacing w:lineRule="auto" w:line="328" w:before="0" w:after="200"/>
              <w:ind w:left="0" w:right="0" w:hanging="0"/>
              <w:jc w:val="left"/>
              <w:rPr/>
            </w:pPr>
            <w:r>
              <w:rPr/>
              <w:t>​</w:t>
            </w:r>
          </w:p>
        </w:tc>
        <w:tc>
          <w:tcPr>
            <w:tcW w:w="870"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7,510</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vAlign w:val="center"/>
          </w:tcPr>
          <w:p>
            <w:pPr>
              <w:pStyle w:val="TableContents"/>
              <w:bidi w:val="0"/>
              <w:spacing w:lineRule="auto" w:line="328" w:before="0" w:after="200"/>
              <w:ind w:left="0" w:right="0" w:hanging="0"/>
              <w:jc w:val="left"/>
              <w:rPr/>
            </w:pPr>
            <w:r>
              <w:rPr/>
              <w:t>​</w:t>
            </w:r>
          </w:p>
        </w:tc>
        <w:tc>
          <w:tcPr>
            <w:tcW w:w="984"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7,510</w:t>
            </w:r>
          </w:p>
        </w:tc>
      </w:tr>
      <w:tr>
        <w:trPr/>
        <w:tc>
          <w:tcPr>
            <w:tcW w:w="3252"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Stock-based compensation</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8,550</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shd w:fill="CCEEFF" w:val="clear"/>
            <w:vAlign w:val="center"/>
          </w:tcPr>
          <w:p>
            <w:pPr>
              <w:pStyle w:val="TableContents"/>
              <w:bidi w:val="0"/>
              <w:spacing w:lineRule="auto" w:line="328" w:before="0" w:after="200"/>
              <w:ind w:left="0" w:right="0" w:hanging="0"/>
              <w:jc w:val="left"/>
              <w:rPr/>
            </w:pPr>
            <w:r>
              <w:rPr/>
              <w:t>​</w:t>
            </w:r>
          </w:p>
        </w:tc>
        <w:tc>
          <w:tcPr>
            <w:tcW w:w="984"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8,550</w:t>
            </w:r>
          </w:p>
        </w:tc>
      </w:tr>
      <w:tr>
        <w:trPr/>
        <w:tc>
          <w:tcPr>
            <w:tcW w:w="3252"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Acquisition &amp; integration costs</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vAlign w:val="center"/>
          </w:tcPr>
          <w:p>
            <w:pPr>
              <w:pStyle w:val="TableContents"/>
              <w:bidi w:val="0"/>
              <w:spacing w:lineRule="auto" w:line="328" w:before="0" w:after="200"/>
              <w:ind w:left="0" w:right="0" w:hanging="0"/>
              <w:jc w:val="left"/>
              <w:rPr/>
            </w:pPr>
            <w:r>
              <w:rPr/>
              <w:t>​</w:t>
            </w:r>
          </w:p>
        </w:tc>
        <w:tc>
          <w:tcPr>
            <w:tcW w:w="870"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1,310</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vAlign w:val="center"/>
          </w:tcPr>
          <w:p>
            <w:pPr>
              <w:pStyle w:val="TableContents"/>
              <w:bidi w:val="0"/>
              <w:spacing w:lineRule="auto" w:line="328" w:before="0" w:after="200"/>
              <w:ind w:left="0" w:right="0" w:hanging="0"/>
              <w:jc w:val="left"/>
              <w:rPr/>
            </w:pPr>
            <w:r>
              <w:rPr/>
              <w:t>​</w:t>
            </w:r>
          </w:p>
        </w:tc>
        <w:tc>
          <w:tcPr>
            <w:tcW w:w="984" w:type="dxa"/>
            <w:tcBorders/>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1,310</w:t>
            </w:r>
          </w:p>
        </w:tc>
      </w:tr>
      <w:tr>
        <w:trPr/>
        <w:tc>
          <w:tcPr>
            <w:tcW w:w="3252"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Executive transition costs</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shd w:fill="CCEEFF" w:val="clear"/>
            <w:vAlign w:val="center"/>
          </w:tcPr>
          <w:p>
            <w:pPr>
              <w:pStyle w:val="TableContents"/>
              <w:bidi w:val="0"/>
              <w:spacing w:lineRule="auto" w:line="328" w:before="0" w:after="200"/>
              <w:ind w:left="0" w:right="0" w:hanging="0"/>
              <w:jc w:val="left"/>
              <w:rPr/>
            </w:pPr>
            <w:r>
              <w:rPr/>
              <w:t>​</w:t>
            </w:r>
          </w:p>
        </w:tc>
        <w:tc>
          <w:tcPr>
            <w:tcW w:w="870"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360</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shd w:fill="CCEEFF" w:val="clear"/>
            <w:vAlign w:val="center"/>
          </w:tcPr>
          <w:p>
            <w:pPr>
              <w:pStyle w:val="TableContents"/>
              <w:bidi w:val="0"/>
              <w:spacing w:lineRule="auto" w:line="328" w:before="0" w:after="200"/>
              <w:ind w:left="0" w:right="0" w:hanging="0"/>
              <w:jc w:val="left"/>
              <w:rPr/>
            </w:pPr>
            <w:r>
              <w:rPr/>
              <w:t>​</w:t>
            </w:r>
          </w:p>
        </w:tc>
        <w:tc>
          <w:tcPr>
            <w:tcW w:w="984" w:type="dxa"/>
            <w:tcBorders/>
            <w:shd w:fill="CCEEFF" w:val="cle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360</w:t>
            </w:r>
          </w:p>
        </w:tc>
      </w:tr>
      <w:tr>
        <w:trPr/>
        <w:tc>
          <w:tcPr>
            <w:tcW w:w="3252" w:type="dxa"/>
            <w:tcBorders/>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Litigation-related costs</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1,000</w:t>
            </w:r>
          </w:p>
        </w:tc>
        <w:tc>
          <w:tcPr>
            <w:tcW w:w="435" w:type="dxa"/>
            <w:tcBorders/>
            <w:vAlign w:val="center"/>
          </w:tcPr>
          <w:p>
            <w:pPr>
              <w:pStyle w:val="TableContents"/>
              <w:bidi w:val="0"/>
              <w:spacing w:lineRule="auto" w:line="328" w:before="0" w:after="20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1,000</w:t>
            </w:r>
          </w:p>
        </w:tc>
      </w:tr>
      <w:tr>
        <w:trPr/>
        <w:tc>
          <w:tcPr>
            <w:tcW w:w="3252" w:type="dxa"/>
            <w:tcBorders/>
            <w:shd w:fill="CCEEFF" w:val="clear"/>
            <w:vAlign w:val="center"/>
          </w:tcPr>
          <w:p>
            <w:pPr>
              <w:pStyle w:val="TableContents"/>
              <w:bidi w:val="0"/>
              <w:spacing w:lineRule="auto" w:line="328" w:before="1" w:after="1"/>
              <w:ind w:left="0" w:right="0" w:hanging="0"/>
              <w:jc w:val="left"/>
              <w:rPr>
                <w:rFonts w:ascii="Arial;Helvetica;sans-serif" w:hAnsi="Arial;Helvetica;sans-serif"/>
                <w:b/>
                <w:sz w:val="18"/>
              </w:rPr>
            </w:pPr>
            <w:r>
              <w:rPr>
                <w:rFonts w:ascii="Arial;Helvetica;sans-serif" w:hAnsi="Arial;Helvetica;sans-serif"/>
                <w:b/>
                <w:sz w:val="18"/>
              </w:rPr>
              <w:t>Adjusted EBITDA</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870"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right"/>
              <w:rPr>
                <w:rFonts w:ascii="Arial;Helvetica;sans-serif" w:hAnsi="Arial;Helvetica;sans-serif"/>
                <w:sz w:val="18"/>
              </w:rPr>
            </w:pPr>
            <w:r>
              <w:rPr>
                <w:rFonts w:ascii="Arial;Helvetica;sans-serif" w:hAnsi="Arial;Helvetica;sans-serif"/>
                <w:sz w:val="18"/>
              </w:rPr>
              <w:t>49,000</w:t>
            </w:r>
          </w:p>
        </w:tc>
        <w:tc>
          <w:tcPr>
            <w:tcW w:w="435" w:type="dxa"/>
            <w:tcBorders/>
            <w:shd w:fill="CCEEFF" w:val="clear"/>
            <w:vAlign w:val="center"/>
          </w:tcPr>
          <w:p>
            <w:pPr>
              <w:pStyle w:val="TableContents"/>
              <w:bidi w:val="0"/>
              <w:spacing w:lineRule="auto" w:line="328" w:before="0" w:after="20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328" w:before="1" w:after="1"/>
              <w:ind w:left="0" w:right="0" w:hanging="0"/>
              <w:jc w:val="left"/>
              <w:rPr>
                <w:rFonts w:ascii="Arial;Helvetica;sans-serif" w:hAnsi="Arial;Helvetica;sans-serif"/>
                <w:sz w:val="18"/>
              </w:rPr>
            </w:pPr>
            <w:r>
              <w:rPr>
                <w:rFonts w:ascii="Arial;Helvetica;sans-serif" w:hAnsi="Arial;Helvetica;sans-serif"/>
                <w:sz w:val="18"/>
              </w:rPr>
              <w:t>$</w:t>
            </w:r>
          </w:p>
        </w:tc>
        <w:tc>
          <w:tcPr>
            <w:tcW w:w="984" w:type="dxa"/>
            <w:tcBorders>
              <w:bottom w:val="double" w:sz="6" w:space="0" w:color="000000"/>
            </w:tcBorders>
            <w:shd w:fill="CCEEFF" w:val="clear"/>
            <w:tcMar>
              <w:bottom w:w="28" w:type="dxa"/>
            </w:tcMar>
            <w:vAlign w:val="center"/>
          </w:tcPr>
          <w:p>
            <w:pPr>
              <w:pStyle w:val="TableContents"/>
              <w:bidi w:val="0"/>
              <w:spacing w:lineRule="auto" w:line="328" w:before="1" w:after="1"/>
              <w:ind w:left="0" w:right="60" w:hanging="0"/>
              <w:jc w:val="right"/>
              <w:rPr>
                <w:rFonts w:ascii="Arial;Helvetica;sans-serif" w:hAnsi="Arial;Helvetica;sans-serif"/>
                <w:sz w:val="18"/>
              </w:rPr>
            </w:pPr>
            <w:r>
              <w:rPr>
                <w:rFonts w:ascii="Arial;Helvetica;sans-serif" w:hAnsi="Arial;Helvetica;sans-serif"/>
                <w:sz w:val="18"/>
              </w:rPr>
              <w:t>51,000</w:t>
            </w:r>
          </w:p>
        </w:tc>
      </w:tr>
    </w:tbl>
    <w:p>
      <w:pPr>
        <w:pStyle w:val="TextBody"/>
        <w:pBdr/>
        <w:shd w:fill="FFFFFF" w:val="clear"/>
        <w:bidi w:val="0"/>
        <w:spacing w:lineRule="auto" w:line="285" w:before="100" w:after="100"/>
        <w:ind w:left="0" w:right="0" w:hanging="0"/>
        <w:jc w:val="both"/>
        <w:rPr/>
      </w:pPr>
      <w:r>
        <w:rPr/>
        <w:t>​</w:t>
      </w:r>
    </w:p>
    <w:p>
      <w:pPr>
        <w:pStyle w:val="TextBody"/>
        <w:shd w:fill="FFFFFF" w:val="clear"/>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Investor Inquiries:</w:t>
      </w:r>
    </w:p>
    <w:p>
      <w:pPr>
        <w:pStyle w:val="TextBody"/>
        <w:shd w:fill="FFFFFF" w:val="clea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Sam Bentzinger</w:t>
      </w:r>
    </w:p>
    <w:p>
      <w:pPr>
        <w:pStyle w:val="TextBody"/>
        <w:shd w:fill="FFFFFF" w:val="clea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Gilmartin Group</w:t>
      </w:r>
    </w:p>
    <w:p>
      <w:pPr>
        <w:pStyle w:val="TextBody"/>
        <w:bidi w:val="0"/>
        <w:spacing w:lineRule="auto" w:line="328" w:before="0" w:after="200"/>
        <w:ind w:left="0" w:right="0" w:hanging="0"/>
        <w:jc w:val="left"/>
        <w:rPr>
          <w:rFonts w:ascii="Arial;Helvetica;sans-serif" w:hAnsi="Arial;Helvetica;sans-serif"/>
          <w:sz w:val="20"/>
        </w:rPr>
      </w:pPr>
      <w:r>
        <w:rPr>
          <w:rFonts w:ascii="Arial;Helvetica;sans-serif" w:hAnsi="Arial;Helvetica;sans-serif"/>
          <w:sz w:val="20"/>
        </w:rPr>
        <w:t>investorrelations@tactilemedical.com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3809</Words>
  <Characters>21480</Characters>
  <CharactersWithSpaces>25767</CharactersWithSpaces>
  <Paragraphs>1846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